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6"/>
      </w:tblGrid>
      <w:tr w:rsidR="007A1AC5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1AC5" w:rsidRDefault="0055245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7A1AC5" w:rsidRDefault="0055245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7A1AC5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55245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4"/>
              </w:rPr>
            </w:pPr>
          </w:p>
        </w:tc>
      </w:tr>
      <w:tr w:rsidR="007A1AC5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55245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7A1AC5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55245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55245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7A1AC5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55245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2026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55245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55245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01.01.2026</w:t>
            </w:r>
          </w:p>
        </w:tc>
      </w:tr>
      <w:tr w:rsidR="007A1AC5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55245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55245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55245D">
            <w:pPr>
              <w:spacing w:line="30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ГРБС</w:t>
            </w:r>
          </w:p>
        </w:tc>
      </w:tr>
      <w:tr w:rsidR="007A1AC5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55245D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получатель бюджетных средств, главный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0"/>
              </w:rPr>
            </w:pPr>
          </w:p>
        </w:tc>
      </w:tr>
      <w:tr w:rsidR="007A1AC5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55245D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55245D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55245D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06470126</w:t>
            </w:r>
          </w:p>
        </w:tc>
      </w:tr>
      <w:tr w:rsidR="007A1AC5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55245D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0"/>
              </w:rPr>
            </w:pPr>
          </w:p>
        </w:tc>
      </w:tr>
      <w:tr w:rsidR="007A1AC5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55245D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0"/>
              </w:rPr>
            </w:pPr>
          </w:p>
        </w:tc>
      </w:tr>
      <w:tr w:rsidR="007A1AC5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55245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МИНИСТЕРСТВО ЦИФРОВОГО РАЗВИТИЯ И СВЯЗИ ПЕНЗЕНСКОЙ ОБЛАСТИ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7A1AC5" w:rsidRDefault="0055245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55245D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55245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819</w:t>
            </w:r>
          </w:p>
        </w:tc>
      </w:tr>
      <w:tr w:rsidR="007A1AC5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55245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4"/>
              </w:rPr>
            </w:pPr>
          </w:p>
        </w:tc>
      </w:tr>
      <w:tr w:rsidR="007A1AC5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55245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субъекта РФ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7A1AC5" w:rsidRDefault="0055245D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55245D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55245D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56000000</w:t>
            </w:r>
          </w:p>
        </w:tc>
      </w:tr>
      <w:tr w:rsidR="007A1AC5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55245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4"/>
              </w:rPr>
            </w:pPr>
          </w:p>
        </w:tc>
      </w:tr>
      <w:tr w:rsidR="007A1AC5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55245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55245D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55245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7A1AC5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4"/>
              </w:rPr>
            </w:pPr>
          </w:p>
        </w:tc>
      </w:tr>
      <w:tr w:rsidR="007A1AC5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4"/>
              </w:rPr>
            </w:pPr>
          </w:p>
        </w:tc>
      </w:tr>
    </w:tbl>
    <w:p w:rsidR="007A1AC5" w:rsidRDefault="0055245D">
      <w:pPr>
        <w:numPr>
          <w:ilvl w:val="0"/>
          <w:numId w:val="1"/>
        </w:numPr>
        <w:spacing w:line="300" w:lineRule="atLeast"/>
        <w:ind w:left="1060"/>
        <w:jc w:val="center"/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Организационная структура</w:t>
      </w:r>
    </w:p>
    <w:p w:rsidR="007A1AC5" w:rsidRDefault="0055245D">
      <w:pPr>
        <w:spacing w:line="300" w:lineRule="atLeast"/>
        <w:ind w:left="1060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7A1AC5" w:rsidRDefault="0055245D">
      <w:pPr>
        <w:spacing w:line="300" w:lineRule="atLeast"/>
        <w:ind w:left="1060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Министерство </w:t>
      </w:r>
      <w:r>
        <w:rPr>
          <w:rFonts w:ascii="Calibri" w:eastAsia="Calibri" w:hAnsi="Calibri" w:cs="Calibri"/>
          <w:color w:val="000000"/>
          <w:sz w:val="28"/>
          <w:szCs w:val="28"/>
        </w:rPr>
        <w:t>цифрового развития и связи Пензенской области (далее – Министерство) является исполнительным органом государственной власти Пензенской области. Вышестоящая организация – Правительство Пензенской области. Министерство создано на основании постановления Прав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ительства Пензенской области от 08.12.2016 г.  № 621-пП «Отдельные вопросы исполнительных органов государственной власти Пензенской области». Поставлено на учет в налоговом органе 31.01.2017 г. Переименовано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в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Министерство цифрового развития, транспорта и </w:t>
      </w:r>
      <w:r>
        <w:rPr>
          <w:rFonts w:ascii="Calibri" w:eastAsia="Calibri" w:hAnsi="Calibri" w:cs="Calibri"/>
          <w:color w:val="000000"/>
          <w:sz w:val="28"/>
          <w:szCs w:val="28"/>
        </w:rPr>
        <w:t>связи Пензенской области на основании постановления Правительства Пензенской области от 12.07.2021 г. № 410-пП «Отдельные вопросы исполнительных органов государственной власти Пензенской области». Дата регистрации изменений в налоговом органе 08.10.2021 г.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Переименовано в Министерство цифрового развития и связи Пензенской области на основании постановления Правительства Пензенской области от 05.07.2024 г. № 420-пП «Отдельные вопросы исполнительных органов государственной власти Пензенской области» (с послед</w:t>
      </w:r>
      <w:r>
        <w:rPr>
          <w:rFonts w:ascii="Calibri" w:eastAsia="Calibri" w:hAnsi="Calibri" w:cs="Calibri"/>
          <w:color w:val="000000"/>
          <w:sz w:val="28"/>
          <w:szCs w:val="28"/>
        </w:rPr>
        <w:t>ующими изменениями). Дата регистрации изменений в налоговом органе 15.11.2024 г.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Юридический адрес: 440025, г. Пенза ул. Кураева 36А.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Численность Министерства по штатному расписанию - 18 человек, на 01.01.2026 - 17 человек.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Источники финансирования: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Бюджет Пензенской области на реализацию государственных программ Пензенской области, резервный фонд Правительства Пензенской области, межбюджетные трансферты из федерального бюджета.</w:t>
      </w:r>
    </w:p>
    <w:p w:rsidR="007A1AC5" w:rsidRDefault="0055245D">
      <w:pPr>
        <w:ind w:firstLine="700"/>
        <w:jc w:val="both"/>
        <w:rPr>
          <w:color w:val="000000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На основании постановления Правительства Пензенской области от 25.10.2021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г.  № 721-пП «О замене исполнительных органов государственной власти Пензенской области, осуществляющих функции и полномочия учредителей государственных бюджетных и казенного учреждений Пензенской области» в 2024 г. Министерство являлось учредителем ГБУ «</w:t>
      </w:r>
      <w:r>
        <w:rPr>
          <w:rFonts w:ascii="Calibri" w:eastAsia="Calibri" w:hAnsi="Calibri" w:cs="Calibri"/>
          <w:color w:val="000000"/>
          <w:sz w:val="28"/>
          <w:szCs w:val="28"/>
        </w:rPr>
        <w:t>Безопасный регион», ГБУ ПО «Аэропорт города Пензы», ГКУ «Организатор перевозок Пензенской области».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С 2025 г. на основании постановления Правительства Пензенской области от 16.12.2024 г.  № 1034-пП «О замене исполнительных органов государственной власти Пе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нзенской области, осуществляющих функции и полномочия учредителя государственного бюджетного учреждения Пензенской области Министерство является учредителем ГБУ «Безопасный регион». 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Министерство осуществляет функции главного распорядителя бюджетных средст</w:t>
      </w:r>
      <w:r>
        <w:rPr>
          <w:rFonts w:ascii="Calibri" w:eastAsia="Calibri" w:hAnsi="Calibri" w:cs="Calibri"/>
          <w:color w:val="000000"/>
          <w:sz w:val="28"/>
          <w:szCs w:val="28"/>
        </w:rPr>
        <w:t>в, предусмотренных на содержание Министерства и реализацию функций в соответствии с законом Пензенской области о бюджете Пензенской области, а также по утвержденным видам субсидий в рамках государственных программ Пензенской области «Формирование информаци</w:t>
      </w:r>
      <w:r>
        <w:rPr>
          <w:rFonts w:ascii="Calibri" w:eastAsia="Calibri" w:hAnsi="Calibri" w:cs="Calibri"/>
          <w:color w:val="000000"/>
          <w:sz w:val="28"/>
          <w:szCs w:val="28"/>
        </w:rPr>
        <w:t>онного общества в Пензенской области», «Обеспечение общественного порядка и противодействие преступности в Пензенской области», «Развитие территорий, социальной и инженерной инфраструктуры, обеспечение транспортных услуг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в Пензенской области», Министерство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осуществляет отраслевое управление деятельностью в области информационных технологий и связи.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Ведение бюджетного учета ведется ГКУ Пензенской области «Центр бухгалтерского учета» на основании постановления Правительства Пензенской области от 11.10.2022 № </w:t>
      </w:r>
      <w:r>
        <w:rPr>
          <w:rFonts w:ascii="Calibri" w:eastAsia="Calibri" w:hAnsi="Calibri" w:cs="Calibri"/>
          <w:color w:val="000000"/>
          <w:sz w:val="28"/>
          <w:szCs w:val="28"/>
        </w:rPr>
        <w:t>865-пП.</w:t>
      </w:r>
    </w:p>
    <w:p w:rsidR="007A1AC5" w:rsidRDefault="0055245D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</w:rPr>
        <w:t> </w:t>
      </w:r>
    </w:p>
    <w:p w:rsidR="007A1AC5" w:rsidRDefault="0055245D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</w:rPr>
        <w:t> </w:t>
      </w:r>
    </w:p>
    <w:p w:rsidR="007A1AC5" w:rsidRDefault="0055245D">
      <w:pPr>
        <w:numPr>
          <w:ilvl w:val="0"/>
          <w:numId w:val="2"/>
        </w:numPr>
        <w:spacing w:line="300" w:lineRule="atLeast"/>
        <w:ind w:left="1060"/>
        <w:jc w:val="center"/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Результаты деятельности</w:t>
      </w:r>
    </w:p>
    <w:p w:rsidR="007A1AC5" w:rsidRDefault="0055245D">
      <w:pPr>
        <w:spacing w:line="300" w:lineRule="atLeast"/>
        <w:ind w:left="1060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7A1AC5" w:rsidRDefault="0055245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>           </w:t>
      </w:r>
      <w:r>
        <w:rPr>
          <w:rFonts w:ascii="Calibri" w:eastAsia="Calibri" w:hAnsi="Calibri" w:cs="Calibri"/>
          <w:color w:val="000000"/>
          <w:sz w:val="28"/>
          <w:szCs w:val="28"/>
        </w:rPr>
        <w:t>По состоянию на 1 января 2026 года временно неэксплуатируемые (неиспользуемые) основные средства отсутствуют.</w:t>
      </w:r>
    </w:p>
    <w:p w:rsidR="007A1AC5" w:rsidRDefault="0055245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Основные средства использовались по своему целевому назначению. Все используемые основны</w:t>
      </w:r>
      <w:r>
        <w:rPr>
          <w:rFonts w:ascii="Calibri" w:eastAsia="Calibri" w:hAnsi="Calibri" w:cs="Calibri"/>
          <w:color w:val="000000"/>
          <w:sz w:val="28"/>
          <w:szCs w:val="28"/>
        </w:rPr>
        <w:t>е средства приняты к учету по стоимости приобретения.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Наличие на отчетную дату  основных средств – 94 186,3 тыс. руб., остаточная балансовая стоимость – 13 234,2 тыс. руб., нематериальные активы – 194,4 тыс. руб., остаточная балансовая стоимость – 0,0 тыс.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руб., права пользования активами – 10 077,4 тыс. руб., основные средства до 3,0 тыс. руб. на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забалансе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– 1 202,8 тыс. руб., прочие  материальные запасы  – 1 266,1 тыс. руб.  </w:t>
      </w:r>
      <w:proofErr w:type="gramEnd"/>
    </w:p>
    <w:p w:rsidR="007A1AC5" w:rsidRDefault="0055245D">
      <w:pPr>
        <w:ind w:firstLine="700"/>
        <w:jc w:val="both"/>
        <w:outlineLvl w:val="0"/>
        <w:rPr>
          <w:b/>
          <w:color w:val="000000"/>
          <w:sz w:val="4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95% основных средств имеют 100 % амортизацию. Сохранность основных средств обесп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ечивается в рабочее время сотрудниками Министерства, в нерабочее время ГБУ «Управление делами Губернатора и Правительства Пензенской области». Материальные запасы приобретаются по мере необходимости.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Обеспеченность в информационно- вычислительных ресурсах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ресурсах хранения данных соответствует всем требованиям к обеспечению жизненного цикла информационных систем, а также предъявляемыми регуляторами в части вопросов информационной безопасности.</w:t>
      </w:r>
    </w:p>
    <w:p w:rsidR="007A1AC5" w:rsidRDefault="0055245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Мероприятия по обновлению парка оборудования носят плановый ха</w:t>
      </w:r>
      <w:r>
        <w:rPr>
          <w:rFonts w:ascii="Calibri" w:eastAsia="Calibri" w:hAnsi="Calibri" w:cs="Calibri"/>
          <w:color w:val="000000"/>
          <w:sz w:val="28"/>
          <w:szCs w:val="28"/>
        </w:rPr>
        <w:t>рактер с целью поддержания оснащенности современными видами вычислительной техники на высоком уровне.</w:t>
      </w:r>
    </w:p>
    <w:p w:rsidR="007A1AC5" w:rsidRDefault="0055245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Все сотрудники обеспечены мебелью в полном объеме. Все единицы мебели эффективно используются. Потребность в новой мебели возникает в процессе создания новых рабочих мест. 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Объем закупок за отчетный период составил 35 691,8 тыс. руб., в том числе с приме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нением конкурентных способов 22 279,5 тыс. руб. Экономия от торгов составила 10,1 тыс. руб. 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Количественные показатели результатов деятельности Министерства цифрового развития и связи Пензенской области по достижению стратегических целей и задач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социально-экономического развития Пензенской области за 2025 год  выполнены  в полном объеме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от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плановых, в том числе: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Показатель 1. Доля граждан, проживающих на территории Пензенской области, зарегистрированных в Федеральной государственной информационно</w:t>
      </w:r>
      <w:r>
        <w:rPr>
          <w:rFonts w:ascii="Calibri" w:eastAsia="Calibri" w:hAnsi="Calibri" w:cs="Calibri"/>
          <w:color w:val="000000"/>
          <w:sz w:val="28"/>
          <w:szCs w:val="28"/>
        </w:rPr>
        <w:t>й системе "Единая система идентификац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ии и ау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тентификации" – 79,6 %, по плану 79 %.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7A1AC5" w:rsidRDefault="0055245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</w:t>
      </w:r>
    </w:p>
    <w:p w:rsidR="007A1AC5" w:rsidRDefault="0055245D">
      <w:pPr>
        <w:numPr>
          <w:ilvl w:val="0"/>
          <w:numId w:val="3"/>
        </w:numPr>
        <w:ind w:left="1060"/>
        <w:jc w:val="center"/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Анализ отчета об исполнении бюджета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Неоднократно вносились изменения в бюджетную роспись в соответствии с Законом Пензенской области «О внесении изменений в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Закон Пензенской области «О бюджете Пензенской области на 2025 год и на плановый период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2026 и 2027 годов» от 23.06.2025 № 4577-ЗПО,  от 26.09.2025 № 4628-ЗПО, от 19.12.2025 № 4586-ЗПО, как в строну уменьшения ассигнований, так и в сторону увеличения объем</w:t>
      </w:r>
      <w:r>
        <w:rPr>
          <w:rFonts w:ascii="Calibri" w:eastAsia="Calibri" w:hAnsi="Calibri" w:cs="Calibri"/>
          <w:color w:val="000000"/>
          <w:sz w:val="28"/>
          <w:szCs w:val="28"/>
        </w:rPr>
        <w:t>ов ассигнований.</w:t>
      </w:r>
      <w:proofErr w:type="gramEnd"/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Данные о результатах кассового исполнения бюджета отражены в форме № 0503164 «Сведения о кассовом исполнении бюджета».  Процент исполнения составляет 99,91%.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В рамках реализации национального проекта «Безопасные качественные дороги» сфо</w:t>
      </w:r>
      <w:r>
        <w:rPr>
          <w:rFonts w:ascii="Calibri" w:eastAsia="Calibri" w:hAnsi="Calibri" w:cs="Calibri"/>
          <w:color w:val="000000"/>
          <w:sz w:val="28"/>
          <w:szCs w:val="28"/>
        </w:rPr>
        <w:t>рмирован региональный проект «Общесистемные меры развития дорожного хозяйства». Перечислены субсидии ГБУ «Безопасный регион». Кассовое исполнение 122 709,5 тыс. руб., что составляет 100 % от плана.</w:t>
      </w:r>
      <w:r>
        <w:rPr>
          <w:rFonts w:ascii="Calibri" w:eastAsia="Calibri" w:hAnsi="Calibri" w:cs="Calibri"/>
          <w:color w:val="000000"/>
        </w:rPr>
        <w:t xml:space="preserve"> 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 Объем бюджетных назначений по доходам за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2025 год составил 38 702,4 тыс. руб., в том числе:  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- безвозмездные поступления – 38 702,4 тыс. руб.,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Объем бюджетных назначений по расходам за 2025 год составил 1 061 674,4 тыс. руб., в том числе: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-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на реализацию государственно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й программы Пензенской области «Формирование информационного общества в Пензенской области» – 75 943,7 тыс. руб., кассовое исполнение 75 182,9 тыс. руб.,(99%) в том числе по мероприятиям: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- обеспечение деятельности ситуационного центра, план 2 50</w:t>
      </w:r>
      <w:r>
        <w:rPr>
          <w:rFonts w:ascii="Calibri" w:eastAsia="Calibri" w:hAnsi="Calibri" w:cs="Calibri"/>
          <w:color w:val="000000"/>
          <w:sz w:val="28"/>
          <w:szCs w:val="28"/>
        </w:rPr>
        <w:t>0,0 тыс. руб., кассовое исполнение – 2 500,0 тыс. руб.;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- реализация функций ГБУ «Безопасный регион» в части обеспечения функционирования инфраструктуры электронного правительства Пензенской области, план 44 237,1 тыс. руб., кассовое исполнение –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44 237,1  тыс. руб.;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- реализация отдельных мероприятий - план 29 206,6 тыс. руб., кассовое исполнение – 28 445,8  тыс. руб.;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         - на реализацию государственной программы Пензенской области «Обеспечение общественного порядка и противодейст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вие преступности в Пензенской области» – 25 218,4 тыс. руб., кассовое исполнение 25 218,4 тыс. руб.(100%), в том числе по мероприятиям: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 - развитие и поддержание функционирования аппаратно-программного комплекса «Безопасный город» - план 19 960,1 </w:t>
      </w:r>
      <w:r>
        <w:rPr>
          <w:rFonts w:ascii="Calibri" w:eastAsia="Calibri" w:hAnsi="Calibri" w:cs="Calibri"/>
          <w:color w:val="000000"/>
          <w:sz w:val="28"/>
          <w:szCs w:val="28"/>
        </w:rPr>
        <w:t>тыс. руб., кассовое исполнение – 19 960,1  тыс. руб.;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 xml:space="preserve">         - на реализацию государственной программы Пензенской области «Развитие территорий, социальной и инженерной инфраструктуры, обеспечение транспортных услуг в Пензенской области» – 814 551,7 тыс.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>руб., кассовое исполнение 814 455,7 тыс. руб.(99,99%) в том числе по мероприятиям:  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 xml:space="preserve">             - </w:t>
      </w:r>
      <w:r>
        <w:rPr>
          <w:rFonts w:ascii="Calibri" w:eastAsia="Calibri" w:hAnsi="Calibri" w:cs="Calibri"/>
          <w:color w:val="000000"/>
          <w:sz w:val="28"/>
          <w:szCs w:val="28"/>
        </w:rPr>
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города с населением свыше 300 тысяч человек - план 39 123,6 тыс. руб., кассовое исполнение – 39 123,6  тыс. руб.;</w:t>
      </w:r>
      <w:r>
        <w:rPr>
          <w:rFonts w:ascii="Calibri" w:eastAsia="Calibri" w:hAnsi="Calibri" w:cs="Calibri"/>
          <w:color w:val="000000"/>
        </w:rPr>
        <w:t xml:space="preserve"> 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 xml:space="preserve">              -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внедрение интеллектуальных транспортных систем, предусматривающих автоматизацию процессов управления дорожным движением в </w:t>
      </w:r>
      <w:r>
        <w:rPr>
          <w:rFonts w:ascii="Calibri" w:eastAsia="Calibri" w:hAnsi="Calibri" w:cs="Calibri"/>
          <w:color w:val="000000"/>
          <w:sz w:val="28"/>
          <w:szCs w:val="28"/>
        </w:rPr>
        <w:t>городских агломерациях, включающих города с населением свыше 300 тысяч человек (развитие, модернизация и обеспечение работы интеллектуальных транспортных систем за счет бюджета Пензенской области) - план 83 585,9 тыс. руб., кассовое исполнение – 83 585,9  </w:t>
      </w:r>
      <w:r>
        <w:rPr>
          <w:rFonts w:ascii="Calibri" w:eastAsia="Calibri" w:hAnsi="Calibri" w:cs="Calibri"/>
          <w:color w:val="000000"/>
          <w:sz w:val="28"/>
          <w:szCs w:val="28"/>
        </w:rPr>
        <w:t>тыс. руб.;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 xml:space="preserve">              - </w:t>
      </w:r>
      <w:r>
        <w:rPr>
          <w:rFonts w:ascii="Calibri" w:eastAsia="Calibri" w:hAnsi="Calibri" w:cs="Calibri"/>
          <w:color w:val="000000"/>
          <w:sz w:val="28"/>
          <w:szCs w:val="28"/>
        </w:rPr>
        <w:t>реализация функций ГБУ «Безопасный регион» в части обеспечения функционирования административно-хозяйственного управления) - план 16 560,6 тыс. руб., кассовое исполнение – 16 558,5  тыс. руб.;</w:t>
      </w:r>
      <w:r>
        <w:rPr>
          <w:rFonts w:ascii="Calibri" w:eastAsia="Calibri" w:hAnsi="Calibri" w:cs="Calibri"/>
          <w:color w:val="000000"/>
        </w:rPr>
        <w:t xml:space="preserve"> 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            </w:t>
      </w:r>
      <w:proofErr w:type="gramStart"/>
      <w:r>
        <w:rPr>
          <w:rFonts w:ascii="Calibri" w:eastAsia="Calibri" w:hAnsi="Calibri" w:cs="Calibri"/>
          <w:color w:val="000000"/>
        </w:rPr>
        <w:t xml:space="preserve">- </w:t>
      </w:r>
      <w:r>
        <w:rPr>
          <w:rFonts w:ascii="Calibri" w:eastAsia="Calibri" w:hAnsi="Calibri" w:cs="Calibri"/>
          <w:color w:val="000000"/>
          <w:sz w:val="28"/>
          <w:szCs w:val="28"/>
        </w:rPr>
        <w:t>обеспечение беспереб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ойной и безаварийной работы комплексов автоматической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фотовидеофиксации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нарушений Правил дорожного движения, в том числе осуществляющих весовой и габаритный контроль транспортных средств, обработка и доставка постановлений об административных правонарушени</w:t>
      </w:r>
      <w:r>
        <w:rPr>
          <w:rFonts w:ascii="Calibri" w:eastAsia="Calibri" w:hAnsi="Calibri" w:cs="Calibri"/>
          <w:color w:val="000000"/>
          <w:sz w:val="28"/>
          <w:szCs w:val="28"/>
        </w:rPr>
        <w:t>ях в области дорожного движения с последующим доведением информации о выявленных нарушениях до участников дорожного движения - план 378 153,5 тыс. руб., кассовое исполнение – 378 153,4  тыс. руб.;</w:t>
      </w:r>
      <w:r>
        <w:rPr>
          <w:rFonts w:ascii="Calibri" w:eastAsia="Calibri" w:hAnsi="Calibri" w:cs="Calibri"/>
          <w:color w:val="000000"/>
        </w:rPr>
        <w:t xml:space="preserve"> </w:t>
      </w:r>
      <w:proofErr w:type="gramEnd"/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   - разработка, создание, обновление (модерниза</w:t>
      </w:r>
      <w:r>
        <w:rPr>
          <w:rFonts w:ascii="Calibri" w:eastAsia="Calibri" w:hAnsi="Calibri" w:cs="Calibri"/>
          <w:color w:val="000000"/>
          <w:sz w:val="28"/>
          <w:szCs w:val="28"/>
        </w:rPr>
        <w:t>ция) и обслуживание аппаратно-программного комплекса для обеспечения бесперебойной и безаварийной работы системы - план 297 128,2 тыс. руб., кассовое исполнение – 297 034,3  тыс. руб.;</w:t>
      </w:r>
      <w:r>
        <w:rPr>
          <w:rFonts w:ascii="Calibri" w:eastAsia="Calibri" w:hAnsi="Calibri" w:cs="Calibri"/>
          <w:color w:val="000000"/>
        </w:rPr>
        <w:t xml:space="preserve"> 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  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-  на реализацию государственной программы Пензенской обла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сти "Социальная поддержка граждан в Пензенской области" – 2 002,3 тыс. руб., кассовое исполнение 2002,3 тыс. руб.(100%);</w:t>
      </w:r>
      <w:r>
        <w:rPr>
          <w:rFonts w:ascii="Calibri" w:eastAsia="Calibri" w:hAnsi="Calibri" w:cs="Calibri"/>
          <w:i/>
          <w:color w:val="000000"/>
        </w:rPr>
        <w:t xml:space="preserve"> 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%), в том числе по мероприятиям: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    - иные межбюджетные трансферты на обеспечение расходных обязательств по организации подк</w:t>
      </w:r>
      <w:r>
        <w:rPr>
          <w:rFonts w:ascii="Calibri" w:eastAsia="Calibri" w:hAnsi="Calibri" w:cs="Calibri"/>
          <w:color w:val="000000"/>
          <w:sz w:val="28"/>
          <w:szCs w:val="28"/>
        </w:rPr>
        <w:t>лючения объектов культуры к информационно-телекоммуникационной сети "Интернет" в рамках реализации пилотного проекта, направленного на стимулирование рождаемости на территории Пензенской области - план 2 002,3 тыс. руб., кассовое исполнение – 2 002,3  тыс.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руб.;</w:t>
      </w:r>
      <w:r>
        <w:rPr>
          <w:rFonts w:ascii="Calibri" w:eastAsia="Calibri" w:hAnsi="Calibri" w:cs="Calibri"/>
          <w:color w:val="000000"/>
        </w:rPr>
        <w:t xml:space="preserve">      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t>             -  на мероприятия за счет средств резервного фонда Правительства Пензенской области – 116 563,0 тыс. руб., кассовое исполнение 116 563,0 тыс. руб.(100%);  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8"/>
          <w:szCs w:val="28"/>
        </w:rPr>
        <w:lastRenderedPageBreak/>
        <w:t>    -  на иные непрограммные расходы органов государственной власти Пензен</w:t>
      </w:r>
      <w:r>
        <w:rPr>
          <w:rFonts w:ascii="Calibri" w:eastAsia="Calibri" w:hAnsi="Calibri" w:cs="Calibri"/>
          <w:i/>
          <w:color w:val="000000"/>
          <w:sz w:val="28"/>
          <w:szCs w:val="28"/>
        </w:rPr>
        <w:t>ской области – 32 653,7 тыс. руб., кассовое исполнение 32 599,7 тыс. руб.(99,8%).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22272F"/>
          <w:sz w:val="28"/>
          <w:szCs w:val="28"/>
        </w:rPr>
        <w:t> 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22272F"/>
          <w:sz w:val="28"/>
          <w:szCs w:val="28"/>
        </w:rPr>
        <w:t>По соглашениям № 1 и № 2 от 28.12.2024 о предоставлении субсидии из бюджета Пензенской области ГБУ «Безопасный регион» на финансовое обеспечение выполнения государственного</w:t>
      </w:r>
      <w:r>
        <w:rPr>
          <w:rFonts w:ascii="Calibri" w:eastAsia="Calibri" w:hAnsi="Calibri" w:cs="Calibri"/>
          <w:color w:val="22272F"/>
          <w:sz w:val="28"/>
          <w:szCs w:val="28"/>
        </w:rPr>
        <w:t xml:space="preserve"> задания на оказание государственных услуг (выполнение работ) на 2025 год предусмотрены субсидии в размере 473 366,6 тыс. руб. Кассовое исполнение составило 100 % .     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Выданы государственные задания: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1) на выполнение работ по техническому сопровождению 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эксплуатации, выводу из эксплуатации информационных систем и компонентов информационно-телекоммуникационной инфраструктуры, содержащее количественные показатели результатов деятельности ГБУ «Безопасный регион» по достижению стратегических целей и задач ра</w:t>
      </w:r>
      <w:r>
        <w:rPr>
          <w:rFonts w:ascii="Calibri" w:eastAsia="Calibri" w:hAnsi="Calibri" w:cs="Calibri"/>
          <w:color w:val="000000"/>
          <w:sz w:val="28"/>
          <w:szCs w:val="28"/>
        </w:rPr>
        <w:t>звития на 2025 в следующих объемах: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- 1 414 858 шт. вынесенных и отправленных постановлений о нарушениях правил дорожного движения. Исполнение за 2025 год составило </w:t>
      </w:r>
      <w:r>
        <w:rPr>
          <w:rFonts w:ascii="Calibri" w:eastAsia="Calibri" w:hAnsi="Calibri" w:cs="Calibri"/>
          <w:color w:val="000000"/>
          <w:sz w:val="28"/>
          <w:szCs w:val="28"/>
          <w:shd w:val="clear" w:color="auto" w:fill="FFFFFF"/>
        </w:rPr>
        <w:t xml:space="preserve">1 324 603 </w:t>
      </w:r>
      <w:r>
        <w:rPr>
          <w:rFonts w:ascii="Calibri" w:eastAsia="Calibri" w:hAnsi="Calibri" w:cs="Calibri"/>
          <w:color w:val="000000"/>
          <w:sz w:val="28"/>
          <w:szCs w:val="28"/>
        </w:rPr>
        <w:t>ед.  шт. постановлений. Разница между запланированным и фактическим количеством п</w:t>
      </w:r>
      <w:r>
        <w:rPr>
          <w:rFonts w:ascii="Calibri" w:eastAsia="Calibri" w:hAnsi="Calibri" w:cs="Calibri"/>
          <w:color w:val="000000"/>
          <w:sz w:val="28"/>
          <w:szCs w:val="28"/>
        </w:rPr>
        <w:t>редоставленной информации превышает предельно допустимое отклонение (5%) на 1,4% на 19 808 ед. Неисполнение количественного показателя связано с регулярными случаями угрозы атаки беспилотными летательными аппаратами и сопутствующим введением режима «Беспил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отная опасность».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Ограничение связи негативно сказывается на работе комплексов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фотовидеофиксации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: происходят сбои в работе программного обеспечения большого количества комплексов, выгрузка нарушений Правил дорожного движения (далее – ПДД) в СПО «Паутина» о</w:t>
      </w:r>
      <w:r>
        <w:rPr>
          <w:rFonts w:ascii="Calibri" w:eastAsia="Calibri" w:hAnsi="Calibri" w:cs="Calibri"/>
          <w:color w:val="000000"/>
          <w:sz w:val="28"/>
          <w:szCs w:val="28"/>
        </w:rPr>
        <w:t>существляется не в полном объеме и с перебоями, что в свою очередь приводит к общему снижению времени работоспособности комплексов и количеству вынесенных постановлений по делам об административных правонарушениях в области дорожного движения.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Кроме того,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имеется проблема получения сигнала ГЛОНАСС и GPS (в части определения времени и географических координат). Часть зафиксированных нарушений ПДД забраковывается из-за некорректного определения указанных параметров; 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в рамках обслуживания и поддержания функ</w:t>
      </w:r>
      <w:r>
        <w:rPr>
          <w:rFonts w:ascii="Calibri" w:eastAsia="Calibri" w:hAnsi="Calibri" w:cs="Calibri"/>
          <w:color w:val="000000"/>
          <w:sz w:val="28"/>
          <w:szCs w:val="28"/>
        </w:rPr>
        <w:t>ционирования аппаратно-программного комплекса АПК «Безопасный город» запланированы количественные показатели: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- количество обслуживаемых IP камер наружного видеонаблюдения - 206 шт., в течение 2025 года обслуживали 216 камер;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количество принимаемых видео</w:t>
      </w:r>
      <w:r>
        <w:rPr>
          <w:rFonts w:ascii="Calibri" w:eastAsia="Calibri" w:hAnsi="Calibri" w:cs="Calibri"/>
          <w:color w:val="000000"/>
          <w:sz w:val="28"/>
          <w:szCs w:val="28"/>
        </w:rPr>
        <w:t>потоков в специальные центры обработки и хранения видеоданных от систем видеонаблюдения, расположенных на территории Пензенской области, принадлежащих юридическим и физическим лицам – 531 шт., исполнение составило 531 шт.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качественный показатель: количеств</w:t>
      </w:r>
      <w:r>
        <w:rPr>
          <w:rFonts w:ascii="Calibri" w:eastAsia="Calibri" w:hAnsi="Calibri" w:cs="Calibri"/>
          <w:color w:val="000000"/>
          <w:sz w:val="28"/>
          <w:szCs w:val="28"/>
        </w:rPr>
        <w:t>о сбоев в системе, повлекшее за собой ее неработоспособность в течение 24 часов и более - 22/66 шт./час. Показатель исполнения за отчетный период – 0/24 шт./час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.;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2) на выполнение работы по внедрению, эксплуатации и обслуживанию аппаратно-программного комп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лекса для обеспечения бесперебойной и безаварийной работы системы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фотовидеофиксации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нарушений Правил дорожного движения, содержащие показатели результатов деятельности в следующих объемах: 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количество созданных и обслуживаемых аппаратно-программных комплексов запланировано - 1 шт., 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количество размещенных виртуальных программно-аппаратных систем 144 шт.;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средний срок простоя государственных информационных систем в результате компьютерны</w:t>
      </w:r>
      <w:r>
        <w:rPr>
          <w:rFonts w:ascii="Calibri" w:eastAsia="Calibri" w:hAnsi="Calibri" w:cs="Calibri"/>
          <w:color w:val="000000"/>
          <w:sz w:val="28"/>
          <w:szCs w:val="28"/>
        </w:rPr>
        <w:t>х атак не более 70 часов, за отчетный период средний срок простоя составил 7 час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.;</w:t>
      </w:r>
      <w:proofErr w:type="gramEnd"/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3)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</w:t>
      </w:r>
      <w:r>
        <w:rPr>
          <w:rFonts w:ascii="Calibri" w:eastAsia="Calibri" w:hAnsi="Calibri" w:cs="Calibri"/>
          <w:color w:val="000000"/>
          <w:sz w:val="28"/>
          <w:szCs w:val="28"/>
        </w:rPr>
        <w:t>аселением свыше 300 тысяч человек: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создание и техническое сопровождение объектов интеллектуальной транспортной системы Пензенской агломерации – 123 шт. На текущую отчетную дату исполнение составило 128 шт.;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доступность системы 95%, 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4) на выполнение ра</w:t>
      </w:r>
      <w:r>
        <w:rPr>
          <w:rFonts w:ascii="Calibri" w:eastAsia="Calibri" w:hAnsi="Calibri" w:cs="Calibri"/>
          <w:color w:val="000000"/>
          <w:sz w:val="28"/>
          <w:szCs w:val="28"/>
        </w:rPr>
        <w:t>боты по сопровождению и модернизации комплексной системы предоставления государственных и муниципальных услуг Пензенской области, содержащее показатели результатов деятельности в следующих объемах: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консультационное сопровождение пользователей при регистр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ации, тестировании и работе  КСПГМУ  - 2084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ед. Исполнение за 2025 год составило 2084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ед.;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количество сопровождаемых услуг в соответствии с требованиями Постановления Правительства РФ от 26.03.2016 № 236 «О требованиях к предоставлению в электр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онной форме государственных и муниципальных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услуг» и сводными матрицами составов действий, выполнение которых обеспечивается заявителю в электронной форме – не менее 6486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 ед. Исполнение за 2025 год составило 6486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ед.;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количество сопровождаемых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сервисов – не менее 74. Исполнение за 2025 год составило 74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ед.;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количество сбоев в системе, повлекших за собой ее неработоспособность в течение 24 часов и боле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е-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; Суммарное время недоступности системы за 2025 год (за исключением времени для проведе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ния регламентных работ) -  0/0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ед.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5) на техническое сопровождение, развитие и поддержку государственной информационной системы Пензенской области «Официальные сайты органов власти, входящих в единую систему публичной власти Пензенской области» содерж</w:t>
      </w:r>
      <w:r>
        <w:rPr>
          <w:rFonts w:ascii="Calibri" w:eastAsia="Calibri" w:hAnsi="Calibri" w:cs="Calibri"/>
          <w:color w:val="000000"/>
          <w:sz w:val="28"/>
          <w:szCs w:val="28"/>
        </w:rPr>
        <w:t>ащее показатели результатов деятельности в следующих объемах: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количество сайтов, входящих в состав государственной информационной системы, подлежащих техническому сопровождению – 53 шт. Исполнение за 2025 год составило 53 шт.; 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за 2025 год доступность </w:t>
      </w:r>
      <w:r>
        <w:rPr>
          <w:rFonts w:ascii="Calibri" w:eastAsia="Calibri" w:hAnsi="Calibri" w:cs="Calibri"/>
          <w:color w:val="000000"/>
          <w:sz w:val="28"/>
          <w:szCs w:val="28"/>
        </w:rPr>
        <w:t>системы составила 97%, планируемый показатель тоже 97%;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6) внедрение, обеспечение функционирования и развитие программного комплекса Ситуационного центра Губернатора содержащее показатели результатов деятельности в следующих объемах: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количество программн</w:t>
      </w:r>
      <w:r>
        <w:rPr>
          <w:rFonts w:ascii="Calibri" w:eastAsia="Calibri" w:hAnsi="Calibri" w:cs="Calibri"/>
          <w:color w:val="000000"/>
          <w:sz w:val="28"/>
          <w:szCs w:val="28"/>
        </w:rPr>
        <w:t>ых комплексов, подлежащих внедрению, обеспечению функционирования и развитию – 1 шт.;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коэффициент доступности системы за 2025 год составил 97% и соответствует планируемому показателю;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7) организация работ по обеспечению информационной безопасности распре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деленной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мультисервисной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сети исполнительных органов Пензенской области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содержащее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показатели результатов деятельности в следующих объемах: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количество точек подключения – 128 шт.;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доступность системы за 2025 год составила 97%.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              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 xml:space="preserve">  </w:t>
      </w:r>
      <w:r>
        <w:rPr>
          <w:rFonts w:ascii="Calibri" w:eastAsia="Calibri" w:hAnsi="Calibri" w:cs="Calibri"/>
          <w:color w:val="000000"/>
        </w:rPr>
        <w:t>            </w:t>
      </w:r>
      <w:r>
        <w:rPr>
          <w:rFonts w:ascii="Calibri" w:eastAsia="Calibri" w:hAnsi="Calibri" w:cs="Calibri"/>
          <w:color w:val="000000"/>
          <w:sz w:val="28"/>
          <w:szCs w:val="28"/>
        </w:rPr>
        <w:t>Из бюджета Пензенской области государственному бюджетному учреждению Пензенской области «Безопасный регион» в соответствии с абзацем вторым пункта 1 статьи 78.1 Бюджетного кодекса Российской Федерации предусмотрены субсидии на 2025 год на сумму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532 949,4 тыс. руб. по следующим направлениям расходования: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1.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В целях внедрение интеллектуальных транспортных систем, предусматривающих автоматизацию процессов управления дорожным движением городских агломераций, включающих города с населением свыше 300 </w:t>
      </w:r>
      <w:r>
        <w:rPr>
          <w:rFonts w:ascii="Calibri" w:eastAsia="Calibri" w:hAnsi="Calibri" w:cs="Calibri"/>
          <w:color w:val="000000"/>
          <w:sz w:val="28"/>
          <w:szCs w:val="28"/>
        </w:rPr>
        <w:t>тысяч человек, в рамках реализации регионального проекта «Общесистемные меры развития дорожного хозяйства», обеспечивающего достижение целей, показателей и результатов федерального проекта «Общесистемные меры развития дорожного хозяйства» национального про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екта «Инфраструктура для жизни» на сумму </w:t>
      </w:r>
      <w:r>
        <w:rPr>
          <w:rFonts w:ascii="Calibri" w:eastAsia="Calibri" w:hAnsi="Calibri" w:cs="Calibri"/>
          <w:color w:val="22272F"/>
          <w:sz w:val="28"/>
          <w:szCs w:val="28"/>
        </w:rPr>
        <w:t xml:space="preserve">66 253,4 </w:t>
      </w:r>
      <w:r>
        <w:rPr>
          <w:rFonts w:ascii="Calibri" w:eastAsia="Calibri" w:hAnsi="Calibri" w:cs="Calibri"/>
          <w:color w:val="000000"/>
          <w:sz w:val="28"/>
          <w:szCs w:val="28"/>
        </w:rPr>
        <w:t>тыс. руб., в том числе из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них из федерального бюджета – 38 732,4 тыс. руб., из областного бюджета – 27 154,8 тыс. руб., из них на условиях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софинансирования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391,2 тыс. руб. по соглашению от 28.12.2024    № 3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. 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Финансирование и исполнение за отчетный период составило 66 253,4 тыс. руб. в полном объеме.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2. В рамках реализации мероприятия по разработке, созданию, обновлению (модернизации) и обслуживанию аппаратно-программного комплекса для обеспечения бесперебой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ной и безаварийной работы системы на сумму 274 420,2 тыс. руб. на проведение работ по обновлению (модернизации) аппаратно-программного комплекса по соглашению и приобретение оборудования от 28.12.2024 № 4. 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Финансирование и исполнение за 2025 год составило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274 326,3 тыс. руб.</w:t>
      </w:r>
    </w:p>
    <w:p w:rsidR="007A1AC5" w:rsidRDefault="0055245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3.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В целях приобретения объектов особо ценного и иного движимого имущества в части оборудования, включая расходы, связанные с монтажом оборудования, пусконаладочными работами, затраты на приобретение которого не включены в расчет норма</w:t>
      </w:r>
      <w:r>
        <w:rPr>
          <w:rFonts w:ascii="Calibri" w:eastAsia="Calibri" w:hAnsi="Calibri" w:cs="Calibri"/>
          <w:color w:val="000000"/>
          <w:sz w:val="28"/>
          <w:szCs w:val="28"/>
        </w:rPr>
        <w:t>тивных затрат на оказание государственной услуги (выполнение работы) и осуществления мероприятий по ремонту объектов движимого имущества, расходы по ремонту которых не включены в расчет нормативных затрат на оказание государственной услуги (выполнение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рабо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ты) в рамках реализации мероприятия «Обеспечение бесперебойной и безаварийной работы комплексов автоматической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фотовидеофиксации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нарушений Правил дорожного движения, в том числе осуществляющих весовой и габаритный контроль транспортных средств, обработка 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доставка постановлений об административных правонарушениях в области дорожного движения с последующим доведением информации о выявленных нарушениях до участников дорожного движения» государственной программы Пензенской области «Развитие территорий, социал</w:t>
      </w:r>
      <w:r>
        <w:rPr>
          <w:rFonts w:ascii="Calibri" w:eastAsia="Calibri" w:hAnsi="Calibri" w:cs="Calibri"/>
          <w:color w:val="000000"/>
          <w:sz w:val="28"/>
          <w:szCs w:val="28"/>
        </w:rPr>
        <w:t>ьной и инженерной инфраструктуры, обеспечение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транспортных услуг в Пензенской области» на сумму 71 822,4 тыс. руб. на поставку и монтаж специальных технических средств, работающих в автоматическом режиме и имеющих функции фото- и киносъемки – 3 шт. и принт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ера  – 6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компл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., на оказание услуг </w:t>
      </w: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по текущему ремонту автоматических пунктов весогабаритного контроля на км 54+650 автомобильной дороги "с. Нижняя Елюзань - с. Русский Камешкир - с.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Лопатино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- граница области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" Лопатинского района и км 92+550м автомобильно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й дороги «г. Пенза - р. п. Шемышейка - с.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Лопатино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» Лопатинского района Пензенской области – 1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усл.ед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и на км 67+200 автомобильной дороги «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.П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оим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-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р.п.Башмаково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-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р.п.Земетчино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»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Земетчинского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района Пензенской области – 1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усл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 ед. по соглашению от 28.12.2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024 № 5. </w:t>
      </w:r>
    </w:p>
    <w:p w:rsidR="007A1AC5" w:rsidRDefault="0055245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За 2025 год финансирование составило 71 822,3 тыс. руб.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Исполнение составило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54 930,0 тыс. руб.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4. За счет средств резервного фонда Правительства Пензенской области в соответствии с протоколом заседания оперативного штаба Пензенской области от </w:t>
      </w:r>
      <w:r>
        <w:rPr>
          <w:rFonts w:ascii="Calibri" w:eastAsia="Calibri" w:hAnsi="Calibri" w:cs="Calibri"/>
          <w:color w:val="000000"/>
          <w:sz w:val="28"/>
          <w:szCs w:val="28"/>
        </w:rPr>
        <w:t>22.04.2025 № 19 по соглашению от 07.05.2025 № 6 выделено 352,0 тыс. руб., по соглашению от 07.05.2025 № 7 выделено 7 200,0 тыс. руб.;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 соответствии с протоколом заседания оперативного штаба Пензенской области от 26.08.2025 № 41 выделено 90 087,25 тыс. руб</w:t>
      </w:r>
      <w:r>
        <w:rPr>
          <w:rFonts w:ascii="Calibri" w:eastAsia="Calibri" w:hAnsi="Calibri" w:cs="Calibri"/>
          <w:color w:val="000000"/>
          <w:sz w:val="28"/>
          <w:szCs w:val="28"/>
        </w:rPr>
        <w:t>. по соглашению от 28.08.2025 № 8;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 соответствии с протоколом заседания оперативного штаба Пензенской области от 16.09.2025 № 47 выделено 6 222,32 тыс. руб. по соглашению от 22.09.2025 № 11;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 соответствии с протоколом заседания оперативного штаба Пензенс</w:t>
      </w:r>
      <w:r>
        <w:rPr>
          <w:rFonts w:ascii="Calibri" w:eastAsia="Calibri" w:hAnsi="Calibri" w:cs="Calibri"/>
          <w:color w:val="000000"/>
          <w:sz w:val="28"/>
          <w:szCs w:val="28"/>
        </w:rPr>
        <w:t>кой области от 21.10.2025 № 56 выделено 1 734,00 тыс. руб. по соглашению от 27.10.2025 № 12;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 соответствии с протоколом заседания оперативного штаба Пензенской области от 12.12.2026 № 69 выделено 3 876,00 тыс. руб. по соглашению от 19.12.2025 № 14.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Всего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за счет средств резервного фонда Правительства Пензенской области ГБУ «Безопасный регион» в 2025 году было выделено 109 471,6 тыс. руб. 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Финансирование и исполнение за 2025 год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составило 109 471,6 тыс. руб.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5. В целях развития и поддержания функционировани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я АПК «Безопасный город» на закупку видеокамер и сопутствующего оборудования и монтаж для создания пунктов видеонаблюдения выделено 3 414,5 тыс. руб. по соглашению от 30.06.2024 № 7-БГ. 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Финансирование и исполнение за отчетный период составило 3 414,5 тыс.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руб.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1C1C1C"/>
          <w:sz w:val="28"/>
          <w:szCs w:val="28"/>
        </w:rPr>
        <w:t xml:space="preserve">6. В целях обеспечения функционирования единой </w:t>
      </w:r>
      <w:proofErr w:type="spellStart"/>
      <w:r>
        <w:rPr>
          <w:rFonts w:ascii="Calibri" w:eastAsia="Calibri" w:hAnsi="Calibri" w:cs="Calibri"/>
          <w:color w:val="1C1C1C"/>
          <w:sz w:val="28"/>
          <w:szCs w:val="28"/>
        </w:rPr>
        <w:t>мультисервисной</w:t>
      </w:r>
      <w:proofErr w:type="spellEnd"/>
      <w:r>
        <w:rPr>
          <w:rFonts w:ascii="Calibri" w:eastAsia="Calibri" w:hAnsi="Calibri" w:cs="Calibri"/>
          <w:color w:val="1C1C1C"/>
          <w:sz w:val="28"/>
          <w:szCs w:val="28"/>
        </w:rPr>
        <w:t xml:space="preserve"> сети передачи данных по соглашению от 30.06.2025 № 7-ЕМСПД предусмотрены средства в объеме 1 450,0 тыс. руб. 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1C1C1C"/>
          <w:sz w:val="28"/>
          <w:szCs w:val="28"/>
        </w:rPr>
        <w:lastRenderedPageBreak/>
        <w:t>Заключены и исполнены контракты за счет средств субсидии на иные цели на сумм</w:t>
      </w:r>
      <w:r>
        <w:rPr>
          <w:rFonts w:ascii="Calibri" w:eastAsia="Calibri" w:hAnsi="Calibri" w:cs="Calibri"/>
          <w:color w:val="1C1C1C"/>
          <w:sz w:val="28"/>
          <w:szCs w:val="28"/>
        </w:rPr>
        <w:t>у 1 050,00 тыс. руб.: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1C1C1C"/>
          <w:sz w:val="28"/>
          <w:szCs w:val="28"/>
        </w:rPr>
        <w:t>- на оказание услуг по организации стыка с единой мульти-сервисной сетью передачи данных Пензенской области по сетям операторов связи, в целях осуществления межведомственного информационного взаимодействия в единой транспортной среде,</w:t>
      </w:r>
      <w:r>
        <w:rPr>
          <w:rFonts w:ascii="Calibri" w:eastAsia="Calibri" w:hAnsi="Calibri" w:cs="Calibri"/>
          <w:color w:val="1C1C1C"/>
          <w:sz w:val="28"/>
          <w:szCs w:val="28"/>
        </w:rPr>
        <w:t xml:space="preserve"> по адресу: г. Пенза, ул. Окружная стр. 3Б;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1C1C1C"/>
          <w:sz w:val="28"/>
          <w:szCs w:val="28"/>
        </w:rPr>
        <w:t xml:space="preserve">- на оказание услуг по организации стыка единой </w:t>
      </w:r>
      <w:proofErr w:type="spellStart"/>
      <w:r>
        <w:rPr>
          <w:rFonts w:ascii="Calibri" w:eastAsia="Calibri" w:hAnsi="Calibri" w:cs="Calibri"/>
          <w:color w:val="1C1C1C"/>
          <w:sz w:val="28"/>
          <w:szCs w:val="28"/>
        </w:rPr>
        <w:t>мультисер-висной</w:t>
      </w:r>
      <w:proofErr w:type="spellEnd"/>
      <w:r>
        <w:rPr>
          <w:rFonts w:ascii="Calibri" w:eastAsia="Calibri" w:hAnsi="Calibri" w:cs="Calibri"/>
          <w:color w:val="1C1C1C"/>
          <w:sz w:val="28"/>
          <w:szCs w:val="28"/>
        </w:rPr>
        <w:t xml:space="preserve"> сети передачи данных Пензенской области с локальной вычислительной сетью ГБУ «Безопасный регион», в целях осуществления межведомственного информаци</w:t>
      </w:r>
      <w:r>
        <w:rPr>
          <w:rFonts w:ascii="Calibri" w:eastAsia="Calibri" w:hAnsi="Calibri" w:cs="Calibri"/>
          <w:color w:val="1C1C1C"/>
          <w:sz w:val="28"/>
          <w:szCs w:val="28"/>
        </w:rPr>
        <w:t>онного взаимодействия в единой транспортной среде, по адресу: г. Пенза, ул. Окружная стр. 3Б;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1C1C1C"/>
          <w:sz w:val="28"/>
          <w:szCs w:val="28"/>
        </w:rPr>
        <w:t>- на оказание услуг по организации стыка информационной системы управления единой виртуальной инфраструктурой с единой мульти-сервисной сетью передачи данных Пенз</w:t>
      </w:r>
      <w:r>
        <w:rPr>
          <w:rFonts w:ascii="Calibri" w:eastAsia="Calibri" w:hAnsi="Calibri" w:cs="Calibri"/>
          <w:color w:val="1C1C1C"/>
          <w:sz w:val="28"/>
          <w:szCs w:val="28"/>
        </w:rPr>
        <w:t>енской области, в целях осуществления межведомственного информационного взаимодействия в единой транспортной среде по адресу: г. Пенза, ул. Окружная, стр. 3Б.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proofErr w:type="gramStart"/>
      <w:r>
        <w:rPr>
          <w:rFonts w:ascii="Calibri" w:eastAsia="Calibri" w:hAnsi="Calibri" w:cs="Calibri"/>
          <w:color w:val="1C1C1C"/>
          <w:sz w:val="28"/>
          <w:szCs w:val="28"/>
        </w:rPr>
        <w:t xml:space="preserve">В связи со сложностью и продолжительностью проведения оценки затрат, со стороны потенциальных </w:t>
      </w:r>
      <w:r>
        <w:rPr>
          <w:rFonts w:ascii="Calibri" w:eastAsia="Calibri" w:hAnsi="Calibri" w:cs="Calibri"/>
          <w:color w:val="1C1C1C"/>
          <w:sz w:val="28"/>
          <w:szCs w:val="28"/>
        </w:rPr>
        <w:t>исполнителей, на определение состояния инфраструктуры, разработке технических условий на размещение (прокладку) кабеля связи ГБУ Пензенской области «Безопасный регион» в кабельной канализации ПАО «Ростелеком» в г. Пензе, не позволило в срок до 31.12.2025 в</w:t>
      </w:r>
      <w:r>
        <w:rPr>
          <w:rFonts w:ascii="Calibri" w:eastAsia="Calibri" w:hAnsi="Calibri" w:cs="Calibri"/>
          <w:color w:val="1C1C1C"/>
          <w:sz w:val="28"/>
          <w:szCs w:val="28"/>
        </w:rPr>
        <w:t>ыполнить указанный в техническом задании объем работ.</w:t>
      </w:r>
      <w:proofErr w:type="gramEnd"/>
      <w:r>
        <w:rPr>
          <w:rFonts w:ascii="Calibri" w:eastAsia="Calibri" w:hAnsi="Calibri" w:cs="Calibri"/>
          <w:color w:val="1C1C1C"/>
          <w:sz w:val="28"/>
          <w:szCs w:val="28"/>
        </w:rPr>
        <w:t xml:space="preserve"> Контракт не заключен. Неисполнение составило 400,00 тыс. руб.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7.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В целях технического обеспечения деятельности Губернатора и Правительства Пензенской области на приобретение оборудования и программных с</w:t>
      </w:r>
      <w:r>
        <w:rPr>
          <w:rFonts w:ascii="Calibri" w:eastAsia="Calibri" w:hAnsi="Calibri" w:cs="Calibri"/>
          <w:color w:val="000000"/>
          <w:sz w:val="28"/>
          <w:szCs w:val="28"/>
        </w:rPr>
        <w:t>редств, в целях организации автоматизированного обмена информацией в электронном виде с ограничительной пометкой «Для служебного пользования» выделено 643,7 тыс. руб. по соглашению от 15.08.2025 № 7-МЭДО, на приобретение ноутбука, ИБП, монитора и неисключи</w:t>
      </w:r>
      <w:r>
        <w:rPr>
          <w:rFonts w:ascii="Calibri" w:eastAsia="Calibri" w:hAnsi="Calibri" w:cs="Calibri"/>
          <w:color w:val="000000"/>
          <w:sz w:val="28"/>
          <w:szCs w:val="28"/>
        </w:rPr>
        <w:t>тельных прав использования программного обеспечения выделено 642,8 тыс. руб.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по соглашение от 22.09.2025 № 10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. 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Финансирование и исполнение за 2025 год по соглашениям: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от 15.08.2025 № 7-МЭДО составило 643,7 тыс. руб.;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- </w:t>
      </w:r>
      <w:r>
        <w:rPr>
          <w:rFonts w:ascii="Calibri" w:eastAsia="Calibri" w:hAnsi="Calibri" w:cs="Calibri"/>
          <w:color w:val="000000"/>
          <w:sz w:val="28"/>
          <w:szCs w:val="28"/>
        </w:rPr>
        <w:t>от 22.09.2025 № 10 составило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642,8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тыс. руб.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5. В</w:t>
      </w:r>
      <w:r>
        <w:rPr>
          <w:rFonts w:ascii="Calibri" w:eastAsia="Calibri" w:hAnsi="Calibri" w:cs="Calibri"/>
          <w:color w:val="22272F"/>
          <w:sz w:val="28"/>
          <w:szCs w:val="28"/>
          <w:shd w:val="clear" w:color="auto" w:fill="FFFFFF"/>
        </w:rPr>
        <w:t xml:space="preserve"> целях в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ыполнения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предпроектных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работ на размещение (установку, монтаж) оборудования для</w:t>
      </w:r>
      <w:r>
        <w:rPr>
          <w:rFonts w:ascii="Calibri" w:eastAsia="Calibri" w:hAnsi="Calibri" w:cs="Calibri"/>
          <w:color w:val="1C1C1C"/>
          <w:sz w:val="28"/>
          <w:szCs w:val="28"/>
        </w:rPr>
        <w:t xml:space="preserve"> создания комплекса инженерных систем безопасности объектов выделено 1 640,00 тыс. руб.</w:t>
      </w:r>
      <w:r>
        <w:rPr>
          <w:rFonts w:ascii="Calibri" w:eastAsia="Calibri" w:hAnsi="Calibri" w:cs="Calibri"/>
          <w:b/>
          <w:color w:val="1C1C1C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1C1C1C"/>
          <w:sz w:val="28"/>
          <w:szCs w:val="28"/>
        </w:rPr>
        <w:t xml:space="preserve">по соглашению от 22.09.2025 № 9. 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Финансирование и исполнение за </w:t>
      </w:r>
      <w:r>
        <w:rPr>
          <w:rFonts w:ascii="Calibri" w:eastAsia="Calibri" w:hAnsi="Calibri" w:cs="Calibri"/>
          <w:color w:val="000000"/>
          <w:sz w:val="28"/>
          <w:szCs w:val="28"/>
        </w:rPr>
        <w:t>2025 год по соглашению составило 1 640,00 тыс. руб.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1C1C1C"/>
          <w:sz w:val="28"/>
          <w:szCs w:val="28"/>
        </w:rPr>
        <w:t>6. В целях реализации функций ГБУ "Безопасный регион" в части обеспечения функционирования административно-хозяйственного управления выделено 1 303,8 тыс. руб.</w:t>
      </w:r>
      <w:r>
        <w:rPr>
          <w:rFonts w:ascii="Calibri" w:eastAsia="Calibri" w:hAnsi="Calibri" w:cs="Calibri"/>
          <w:b/>
          <w:color w:val="1C1C1C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1C1C1C"/>
          <w:sz w:val="28"/>
          <w:szCs w:val="28"/>
        </w:rPr>
        <w:t>по соглашению от 27.10.2025 № 12-ФИ на приоб</w:t>
      </w:r>
      <w:r>
        <w:rPr>
          <w:rFonts w:ascii="Calibri" w:eastAsia="Calibri" w:hAnsi="Calibri" w:cs="Calibri"/>
          <w:color w:val="1C1C1C"/>
          <w:sz w:val="28"/>
          <w:szCs w:val="28"/>
        </w:rPr>
        <w:t xml:space="preserve">ретение оборудования. 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Финансирование и исполнение за 2025 год по соглашению составило 1 301,8 тыс. руб.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7. В</w:t>
      </w:r>
      <w:r>
        <w:rPr>
          <w:rFonts w:ascii="Calibri" w:eastAsia="Calibri" w:hAnsi="Calibri" w:cs="Calibri"/>
          <w:color w:val="22272F"/>
          <w:sz w:val="28"/>
          <w:szCs w:val="28"/>
          <w:shd w:val="clear" w:color="auto" w:fill="FFFFFF"/>
        </w:rPr>
        <w:t xml:space="preserve"> целях реализации функций ГБУ "Безопасный регион" в части обеспечения функционирования инфраструктуры электронного правительства Пензенской </w:t>
      </w:r>
      <w:r>
        <w:rPr>
          <w:rFonts w:ascii="Calibri" w:eastAsia="Calibri" w:hAnsi="Calibri" w:cs="Calibri"/>
          <w:color w:val="1C1C1C"/>
          <w:sz w:val="28"/>
          <w:szCs w:val="28"/>
        </w:rPr>
        <w:t>выделен</w:t>
      </w:r>
      <w:r>
        <w:rPr>
          <w:rFonts w:ascii="Calibri" w:eastAsia="Calibri" w:hAnsi="Calibri" w:cs="Calibri"/>
          <w:color w:val="1C1C1C"/>
          <w:sz w:val="28"/>
          <w:szCs w:val="28"/>
        </w:rPr>
        <w:t>о 1 887,00 тыс. руб.</w:t>
      </w:r>
      <w:r>
        <w:rPr>
          <w:rFonts w:ascii="Calibri" w:eastAsia="Calibri" w:hAnsi="Calibri" w:cs="Calibri"/>
          <w:b/>
          <w:color w:val="1C1C1C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1C1C1C"/>
          <w:sz w:val="28"/>
          <w:szCs w:val="28"/>
        </w:rPr>
        <w:t>по соглашению от 19.11.2025 № 13: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proofErr w:type="gramStart"/>
      <w:r>
        <w:rPr>
          <w:rFonts w:ascii="Calibri" w:eastAsia="Calibri" w:hAnsi="Calibri" w:cs="Calibri"/>
          <w:color w:val="1C1C1C"/>
          <w:sz w:val="28"/>
          <w:szCs w:val="28"/>
        </w:rPr>
        <w:t>- для организации системы контроля и управления доступом по адресу: г. Пенза, ул. Окружная, стр. 3Б;</w:t>
      </w:r>
      <w:proofErr w:type="gramEnd"/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для организации системы видеонаблюдения </w:t>
      </w:r>
      <w:r>
        <w:rPr>
          <w:rFonts w:ascii="Calibri" w:eastAsia="Calibri" w:hAnsi="Calibri" w:cs="Calibri"/>
          <w:color w:val="1C1C1C"/>
          <w:sz w:val="28"/>
          <w:szCs w:val="28"/>
        </w:rPr>
        <w:t>по адресу: г. Пенза, ул. Окружная, стр. 3Б;</w:t>
      </w:r>
    </w:p>
    <w:p w:rsidR="007A1AC5" w:rsidRDefault="0055245D">
      <w:pPr>
        <w:shd w:val="clear" w:color="auto" w:fill="FFFFFF"/>
        <w:ind w:firstLine="700"/>
        <w:jc w:val="both"/>
        <w:rPr>
          <w:color w:val="000000"/>
          <w:shd w:val="clear" w:color="auto" w:fill="FFFFFF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для организа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ции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периметральной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защиты </w:t>
      </w:r>
      <w:r>
        <w:rPr>
          <w:rFonts w:ascii="Calibri" w:eastAsia="Calibri" w:hAnsi="Calibri" w:cs="Calibri"/>
          <w:color w:val="1C1C1C"/>
          <w:sz w:val="28"/>
          <w:szCs w:val="28"/>
        </w:rPr>
        <w:t>по адресу: г. Пенза, ул. Окружная, стр. 3Б.</w:t>
      </w:r>
    </w:p>
    <w:p w:rsidR="007A1AC5" w:rsidRDefault="0055245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За 2025 год финансирование составило 1 887,00 тыс. руб.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Исполнение составило</w:t>
      </w:r>
      <w:r>
        <w:rPr>
          <w:rFonts w:ascii="Calibri" w:eastAsia="Calibri" w:hAnsi="Calibri" w:cs="Calibri"/>
          <w:b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1 483,10 тыс. руб. 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22272F"/>
          <w:sz w:val="28"/>
          <w:szCs w:val="28"/>
        </w:rPr>
        <w:t>      </w:t>
      </w:r>
    </w:p>
    <w:p w:rsidR="007A1AC5" w:rsidRDefault="0055245D">
      <w:pPr>
        <w:numPr>
          <w:ilvl w:val="0"/>
          <w:numId w:val="4"/>
        </w:numPr>
        <w:spacing w:line="300" w:lineRule="atLeast"/>
        <w:ind w:left="1060"/>
        <w:jc w:val="center"/>
        <w:rPr>
          <w:rFonts w:ascii="Calibri" w:eastAsia="Calibri" w:hAnsi="Calibri" w:cs="Calibri"/>
          <w:b/>
          <w:color w:val="000000"/>
          <w:sz w:val="28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Анализ показателей финансовой отчетности</w:t>
      </w:r>
    </w:p>
    <w:p w:rsidR="007A1AC5" w:rsidRDefault="0055245D">
      <w:pPr>
        <w:spacing w:line="300" w:lineRule="atLeast"/>
        <w:ind w:left="1060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7A1AC5" w:rsidRDefault="0055245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Показатели, характеризующие </w:t>
      </w:r>
      <w:r>
        <w:rPr>
          <w:rFonts w:ascii="Calibri" w:eastAsia="Calibri" w:hAnsi="Calibri" w:cs="Calibri"/>
          <w:color w:val="000000"/>
          <w:sz w:val="28"/>
          <w:szCs w:val="28"/>
        </w:rPr>
        <w:t>финансовую отчетность, отражены в  следующих приложениях к  пояснительной записке:</w:t>
      </w:r>
      <w:r>
        <w:rPr>
          <w:rFonts w:ascii="Calibri" w:eastAsia="Calibri" w:hAnsi="Calibri" w:cs="Calibri"/>
          <w:color w:val="000000"/>
        </w:rPr>
        <w:t xml:space="preserve"> </w:t>
      </w:r>
    </w:p>
    <w:p w:rsidR="007A1AC5" w:rsidRDefault="0055245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 xml:space="preserve">- </w:t>
      </w:r>
      <w:r>
        <w:rPr>
          <w:rFonts w:ascii="Calibri" w:eastAsia="Calibri" w:hAnsi="Calibri" w:cs="Calibri"/>
          <w:color w:val="000000"/>
          <w:sz w:val="28"/>
          <w:szCs w:val="28"/>
        </w:rPr>
        <w:t>Отчет о бюджетных обязательствах (ф. 0503128):</w:t>
      </w:r>
      <w:r>
        <w:rPr>
          <w:rFonts w:ascii="Calibri" w:eastAsia="Calibri" w:hAnsi="Calibri" w:cs="Calibri"/>
          <w:color w:val="000000"/>
        </w:rPr>
        <w:t xml:space="preserve"> </w:t>
      </w:r>
    </w:p>
    <w:p w:rsidR="007A1AC5" w:rsidRDefault="0055245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В графе 11 "Не исполнено принятых бюджетных обязательств" отражена  сумма 350,0 тыс. руб., в том числе:</w:t>
      </w:r>
    </w:p>
    <w:p w:rsidR="007A1AC5" w:rsidRDefault="0055245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- КБК 819 0113 1440399999 244 226 – 350,00 тыс. руб. сумма расходов на услуги по сопровождению СЭДД Правительства Пензенской области за декабрь 2025 </w:t>
      </w:r>
      <w:r>
        <w:rPr>
          <w:rFonts w:ascii="Calibri" w:eastAsia="Calibri" w:hAnsi="Calibri" w:cs="Calibri"/>
          <w:color w:val="000000"/>
        </w:rPr>
        <w:t xml:space="preserve">г., </w:t>
      </w:r>
      <w:r>
        <w:rPr>
          <w:rFonts w:ascii="Calibri" w:eastAsia="Calibri" w:hAnsi="Calibri" w:cs="Calibri"/>
          <w:color w:val="000000"/>
          <w:sz w:val="28"/>
          <w:szCs w:val="28"/>
        </w:rPr>
        <w:t>акт подписан в январе 2026 г.</w:t>
      </w:r>
    </w:p>
    <w:p w:rsidR="007A1AC5" w:rsidRDefault="0055245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Сведения о движении нефинансовых активов (ф. 0503168):</w:t>
      </w:r>
    </w:p>
    <w:p w:rsidR="007A1AC5" w:rsidRDefault="0055245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</w:t>
      </w:r>
    </w:p>
    <w:p w:rsidR="007A1AC5" w:rsidRDefault="0055245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     На основании приказа Министерства государственного имущества Пензенской области от 30.01.2025 № 32-пр переданы безвозмездно ГБУ «Безопасный регион» основные средства на сумму 500,0 тыс. руб., неисключительное право на использование программы на сумму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3 757,9 тыс. руб. </w:t>
      </w:r>
    </w:p>
    <w:p w:rsidR="007A1AC5" w:rsidRDefault="0055245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         На основании приказов Министерства государственного имущества Пензенской области от 30.01.2025 № 33-пр, от 01.10.2025 № 363-пр переданы безвозмездно Министерству строительства, транспорта и дорожного хозяйства Пензенской области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основные средства и материальные запасы на сумму 1 313,5 тыс. руб.</w:t>
      </w:r>
    </w:p>
    <w:p w:rsidR="007A1AC5" w:rsidRDefault="0055245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 На основании решения оперативного штаба переданы безвозмездно ФКУ «Военному комиссариату  Пензенской области» основные средства на сумму 5 650,8 тыс. руб. </w:t>
      </w:r>
    </w:p>
    <w:p w:rsidR="007A1AC5" w:rsidRDefault="0055245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 На основани</w:t>
      </w:r>
      <w:r>
        <w:rPr>
          <w:rFonts w:ascii="Calibri" w:eastAsia="Calibri" w:hAnsi="Calibri" w:cs="Calibri"/>
          <w:color w:val="000000"/>
          <w:sz w:val="28"/>
          <w:szCs w:val="28"/>
        </w:rPr>
        <w:t>и приказа Министерства государственного имущества Пензенской области от 05.06.2024 № 223-пр получено безвозмездно от ГКУ «ПРОБИ» основных средств на сумму 35,1 тыс. руб.</w:t>
      </w:r>
    </w:p>
    <w:p w:rsidR="007A1AC5" w:rsidRDefault="0055245D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 </w:t>
      </w:r>
    </w:p>
    <w:p w:rsidR="007A1AC5" w:rsidRDefault="0055245D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 xml:space="preserve">Расшифровка показателей бухгалтерской отчетности по сегментам </w:t>
      </w:r>
    </w:p>
    <w:p w:rsidR="007A1AC5" w:rsidRDefault="0055245D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в отношении кредиторс</w:t>
      </w:r>
      <w:r>
        <w:rPr>
          <w:rFonts w:ascii="Calibri" w:eastAsia="Calibri" w:hAnsi="Calibri" w:cs="Calibri"/>
          <w:color w:val="000000"/>
          <w:sz w:val="26"/>
          <w:szCs w:val="26"/>
        </w:rPr>
        <w:t>кой задолженности</w:t>
      </w:r>
    </w:p>
    <w:tbl>
      <w:tblPr>
        <w:tblW w:w="4900" w:type="pct"/>
        <w:tblInd w:w="10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8"/>
        <w:gridCol w:w="1559"/>
        <w:gridCol w:w="1361"/>
        <w:gridCol w:w="1163"/>
        <w:gridCol w:w="1163"/>
        <w:gridCol w:w="1361"/>
        <w:gridCol w:w="1543"/>
      </w:tblGrid>
      <w:tr w:rsidR="007A1AC5"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Счет бухгалтерского учета</w:t>
            </w:r>
          </w:p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Показатель задолженности на отчетную дату всего, руб.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В том числе по сегменту 1, руб.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В том числе по сегменту 2, руб.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В том числе по сегменту 3, руб.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Итого по сегментам 1, 2 и 3, руб.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% задолженности по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сегментам 1,2 и 3 от общей суммы задолженности</w:t>
            </w:r>
          </w:p>
        </w:tc>
      </w:tr>
      <w:tr w:rsidR="007A1AC5">
        <w:trPr>
          <w:trHeight w:val="325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20500000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7A1AC5">
        <w:trPr>
          <w:trHeight w:val="325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20800000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7A1AC5">
        <w:trPr>
          <w:trHeight w:val="370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20900000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7A1AC5">
        <w:trPr>
          <w:trHeight w:val="355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30200000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7A1AC5">
        <w:trPr>
          <w:trHeight w:val="355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30300000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7A1AC5">
        <w:trPr>
          <w:trHeight w:val="310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30400000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7A1AC5">
        <w:trPr>
          <w:trHeight w:val="310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6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</w:tbl>
    <w:p w:rsidR="007A1AC5" w:rsidRDefault="0055245D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6"/>
          <w:szCs w:val="26"/>
        </w:rPr>
        <w:t> </w:t>
      </w:r>
    </w:p>
    <w:p w:rsidR="007A1AC5" w:rsidRDefault="0055245D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 xml:space="preserve">Расшифровка показателей бухгалтерской отчетности по сегментам </w:t>
      </w:r>
    </w:p>
    <w:p w:rsidR="007A1AC5" w:rsidRDefault="0055245D">
      <w:pPr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color w:val="000000"/>
          <w:sz w:val="26"/>
          <w:szCs w:val="26"/>
        </w:rPr>
        <w:t>в отношении дебиторской задолженности</w:t>
      </w:r>
    </w:p>
    <w:tbl>
      <w:tblPr>
        <w:tblW w:w="4900" w:type="pct"/>
        <w:tblInd w:w="108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1"/>
        <w:gridCol w:w="1601"/>
        <w:gridCol w:w="1401"/>
        <w:gridCol w:w="1000"/>
        <w:gridCol w:w="1101"/>
        <w:gridCol w:w="1402"/>
        <w:gridCol w:w="1602"/>
      </w:tblGrid>
      <w:tr w:rsidR="007A1AC5"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Счет бухгалтерского учета</w:t>
            </w:r>
          </w:p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Показатель задолженности на отчетную дату всего, руб.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В том числе по сегменту 1, руб.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В том числе по сегменту 2, руб.</w:t>
            </w:r>
          </w:p>
        </w:tc>
        <w:tc>
          <w:tcPr>
            <w:tcW w:w="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 xml:space="preserve">В том </w:t>
            </w: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числе по сегменту 3, руб.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Итого по сегментам 1, 2 и 3, руб.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% задолженности по сегментам 1,2 и 3 от общей суммы задолженности</w:t>
            </w:r>
          </w:p>
        </w:tc>
      </w:tr>
      <w:tr w:rsidR="007A1AC5">
        <w:trPr>
          <w:trHeight w:val="325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20500000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322937399,88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322937399,88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322937399,88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100</w:t>
            </w:r>
          </w:p>
        </w:tc>
      </w:tr>
      <w:tr w:rsidR="007A1AC5">
        <w:trPr>
          <w:trHeight w:val="325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20600000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</w:t>
            </w:r>
          </w:p>
        </w:tc>
      </w:tr>
      <w:tr w:rsidR="007A1AC5">
        <w:trPr>
          <w:trHeight w:val="325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20800000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24424,00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0</w:t>
            </w:r>
          </w:p>
        </w:tc>
      </w:tr>
      <w:tr w:rsidR="007A1AC5">
        <w:trPr>
          <w:trHeight w:val="370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20900000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6271,56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7A1AC5">
        <w:trPr>
          <w:trHeight w:val="355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30200000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7A1AC5">
        <w:trPr>
          <w:trHeight w:val="355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30300000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7A1AC5">
        <w:trPr>
          <w:trHeight w:val="310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lastRenderedPageBreak/>
              <w:t>30400000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</w:tr>
      <w:tr w:rsidR="007A1AC5">
        <w:trPr>
          <w:trHeight w:val="310"/>
        </w:trPr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322968095,44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322937399,88</w:t>
            </w:r>
          </w:p>
        </w:tc>
        <w:tc>
          <w:tcPr>
            <w:tcW w:w="5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322937399,88</w:t>
            </w:r>
          </w:p>
        </w:tc>
        <w:tc>
          <w:tcPr>
            <w:tcW w:w="8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99,99</w:t>
            </w:r>
          </w:p>
        </w:tc>
      </w:tr>
    </w:tbl>
    <w:p w:rsidR="007A1AC5" w:rsidRDefault="0055245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Сведения по дебиторской и кредиторской задолженности по состоянию на 01.01.2026 г. приведены в ф. 0503169 приложения.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Кредиторская задолженность на 01.01.2026 г. составляет 0,0 тыс. руб.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Дебиторская задолженность, всего -322 968,1 тыс. руб., в том числе:</w:t>
      </w:r>
    </w:p>
    <w:p w:rsidR="007A1AC5" w:rsidRDefault="0055245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</w:t>
      </w:r>
    </w:p>
    <w:p w:rsidR="007A1AC5" w:rsidRDefault="0055245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по доходам – 322 943,7 тыс. руб., в том числе:</w:t>
      </w:r>
    </w:p>
    <w:p w:rsidR="007A1AC5" w:rsidRDefault="0055245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 - счет 205.51 - </w:t>
      </w:r>
      <w:r>
        <w:rPr>
          <w:rFonts w:ascii="Calibri" w:eastAsia="Calibri" w:hAnsi="Calibri" w:cs="Calibri"/>
          <w:color w:val="000000"/>
          <w:sz w:val="28"/>
          <w:szCs w:val="28"/>
        </w:rPr>
        <w:t>301 281,3 тыс. руб., в том числе:</w:t>
      </w:r>
    </w:p>
    <w:p w:rsidR="007A1AC5" w:rsidRDefault="0055245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 xml:space="preserve">-субсидия, иной межбюджетный трансферт, имеющий целевое значение в целях внедрения автоматизированных и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робототизированных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технологий организации дорожного движения и контроля за соблюдением правил дорожного движ</w:t>
      </w:r>
      <w:r>
        <w:rPr>
          <w:rFonts w:ascii="Calibri" w:eastAsia="Calibri" w:hAnsi="Calibri" w:cs="Calibri"/>
          <w:color w:val="000000"/>
          <w:sz w:val="28"/>
          <w:szCs w:val="28"/>
        </w:rPr>
        <w:t>ения (внедрения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человек) на 2025-2027 г. – 288 160,0 тыс. руб., в том чис</w:t>
      </w:r>
      <w:r>
        <w:rPr>
          <w:rFonts w:ascii="Calibri" w:eastAsia="Calibri" w:hAnsi="Calibri" w:cs="Calibri"/>
          <w:color w:val="000000"/>
          <w:sz w:val="28"/>
          <w:szCs w:val="28"/>
        </w:rPr>
        <w:t>ле долгосрочная – 248 516,9 тыс. руб.;</w:t>
      </w:r>
      <w:proofErr w:type="gramEnd"/>
    </w:p>
    <w:p w:rsidR="007A1AC5" w:rsidRDefault="0055245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 - субсидия в целях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софинансирования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расходных обязательств субъектов РФ.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Возникающих при реализации мероприятий по развитию региональных информационных систем в целях интеграции с витриной данных органов гос</w:t>
      </w:r>
      <w:r>
        <w:rPr>
          <w:rFonts w:ascii="Calibri" w:eastAsia="Calibri" w:hAnsi="Calibri" w:cs="Calibri"/>
          <w:color w:val="000000"/>
          <w:sz w:val="28"/>
          <w:szCs w:val="28"/>
        </w:rPr>
        <w:t>ударственной власти и органов управления государственными фондами на 2026 г. – 13 121,3 тыс. руб.;        </w:t>
      </w:r>
      <w:proofErr w:type="gramEnd"/>
    </w:p>
    <w:p w:rsidR="007A1AC5" w:rsidRDefault="0055245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- счет 205.36 – 4 359,9 тыс. руб., сумма возврата субсидии на выполнение государственного задания ГБУ «Безопасный регион» за неисполнение п</w:t>
      </w:r>
      <w:r>
        <w:rPr>
          <w:rFonts w:ascii="Calibri" w:eastAsia="Calibri" w:hAnsi="Calibri" w:cs="Calibri"/>
          <w:color w:val="000000"/>
          <w:sz w:val="28"/>
          <w:szCs w:val="28"/>
        </w:rPr>
        <w:t>оказателей государственного задания.</w:t>
      </w:r>
    </w:p>
    <w:p w:rsidR="007A1AC5" w:rsidRDefault="0055245D">
      <w:pPr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 - счет 209,36 – 6,3 тыс. руб. - переплата за услуги связи 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по расходам – 24,4 тыс. руб., в том числе: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- счет 208.21– 24,4 тыс. руб. - выданы в подотчет знаки почтовой оплаты; 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Сведения о финансовы</w:t>
      </w:r>
      <w:r>
        <w:rPr>
          <w:rFonts w:ascii="Calibri" w:eastAsia="Calibri" w:hAnsi="Calibri" w:cs="Calibri"/>
          <w:color w:val="000000"/>
          <w:sz w:val="28"/>
          <w:szCs w:val="28"/>
        </w:rPr>
        <w:t>х вложениях по состоянию на 01.01.2026 г. приведены в ф. 0503171 приложения.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Финансовые вложения – участие в ГБУ «Безопасный регион» - 1 884 142,7 тыс. руб.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 xml:space="preserve">Сведения по изменению валюты баланса  приведены в ф. 0503173 приложения. 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- изменились показатели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 в связи с изменением учредителя ГКУ «Организатор перевозок Пензенской области».</w:t>
      </w:r>
    </w:p>
    <w:p w:rsidR="007A1AC5" w:rsidRDefault="0055245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7A1AC5" w:rsidRDefault="0055245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Сведения о принятых и неисполненных обязательствах получателя бюджетных средств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.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(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ф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. 0503175)</w:t>
      </w:r>
    </w:p>
    <w:p w:rsidR="007A1AC5" w:rsidRDefault="0055245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Раздел 4 "Сведения об экономии при заключении государственных (муниципальных) к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онтрактов с применением конкурентных способов"- проведено 4 закупки конкурентным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способом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в результате которых образовалась экономия 10,1 тыс. руб.</w:t>
      </w:r>
    </w:p>
    <w:p w:rsidR="007A1AC5" w:rsidRDefault="0055245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</w:t>
      </w:r>
    </w:p>
    <w:p w:rsidR="007A1AC5" w:rsidRDefault="0055245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Сведения об остатках денежных средств на счетах получателя бюджетных средств (ф. 0503178_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СВ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)</w:t>
      </w:r>
    </w:p>
    <w:p w:rsidR="007A1AC5" w:rsidRDefault="0055245D">
      <w:pPr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7"/>
          <w:szCs w:val="27"/>
        </w:rPr>
        <w:t xml:space="preserve">- </w:t>
      </w:r>
      <w:r>
        <w:rPr>
          <w:rFonts w:ascii="Calibri" w:eastAsia="Calibri" w:hAnsi="Calibri" w:cs="Calibri"/>
          <w:color w:val="000000"/>
          <w:sz w:val="28"/>
          <w:szCs w:val="28"/>
        </w:rPr>
        <w:t>остатка</w:t>
      </w:r>
      <w:r>
        <w:rPr>
          <w:rFonts w:ascii="Calibri" w:eastAsia="Calibri" w:hAnsi="Calibri" w:cs="Calibri"/>
          <w:color w:val="000000"/>
          <w:sz w:val="27"/>
          <w:szCs w:val="27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средств во временном распоряжении  нет</w:t>
      </w:r>
    </w:p>
    <w:p w:rsidR="007A1AC5" w:rsidRDefault="0055245D">
      <w:pPr>
        <w:jc w:val="both"/>
        <w:rPr>
          <w:color w:val="000000"/>
        </w:rPr>
      </w:pPr>
      <w:r>
        <w:rPr>
          <w:rFonts w:ascii="Calibri" w:eastAsia="Calibri" w:hAnsi="Calibri" w:cs="Calibri"/>
          <w:b/>
          <w:color w:val="000000"/>
        </w:rPr>
        <w:t> 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           Министерством не производилось отвлечение бюджетных сре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дств в ф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>инансовые вложения (депозиты, акции, облигации, векселя, уставные фонды и т. п). Долговых обязательств по кредитам не имеется.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Недостач и </w:t>
      </w:r>
      <w:r>
        <w:rPr>
          <w:rFonts w:ascii="Calibri" w:eastAsia="Calibri" w:hAnsi="Calibri" w:cs="Calibri"/>
          <w:color w:val="000000"/>
          <w:sz w:val="28"/>
          <w:szCs w:val="28"/>
        </w:rPr>
        <w:t>хищений денежных средств и материальных ценностей в отчетном году не установлено.</w:t>
      </w:r>
    </w:p>
    <w:p w:rsidR="007A1AC5" w:rsidRDefault="0055245D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7A1AC5" w:rsidRDefault="0055245D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 </w:t>
      </w:r>
    </w:p>
    <w:p w:rsidR="007A1AC5" w:rsidRDefault="0055245D">
      <w:pPr>
        <w:spacing w:line="300" w:lineRule="atLeast"/>
        <w:ind w:firstLine="700"/>
        <w:jc w:val="center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8"/>
          <w:szCs w:val="28"/>
        </w:rPr>
        <w:t>5. Прочие вопросы деятельности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Бюджетный учет осуществляется на основании оформленных надлежащим образом первичных документов. Ведение бюджетного учета и формирование б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юджетной отчетности  полностью осуществляется при помощи программы АС «Смета». </w:t>
      </w:r>
    </w:p>
    <w:p w:rsidR="007A1AC5" w:rsidRDefault="0055245D">
      <w:pPr>
        <w:spacing w:line="300" w:lineRule="atLeast"/>
        <w:ind w:firstLine="70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В отчетном периоде Министерством осуществлялись мероприятия по внутреннему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контролю за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соблюдением требований бюджетного законодательства, соблюдением финансовой дисциплины и э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ффективным использованием материальных и финансовых ресурсов, а также правильным ведением бюджетного учета и составлением отчетности. </w:t>
      </w:r>
    </w:p>
    <w:p w:rsidR="007A1AC5" w:rsidRDefault="0055245D">
      <w:pPr>
        <w:spacing w:line="320" w:lineRule="atLeast"/>
        <w:ind w:left="36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В связи с отсутствием числового значения у всех </w:t>
      </w:r>
      <w:proofErr w:type="gramStart"/>
      <w:r>
        <w:rPr>
          <w:rFonts w:ascii="Calibri" w:eastAsia="Calibri" w:hAnsi="Calibri" w:cs="Calibri"/>
          <w:color w:val="000000"/>
          <w:sz w:val="28"/>
          <w:szCs w:val="28"/>
        </w:rPr>
        <w:t>показателей</w:t>
      </w:r>
      <w:proofErr w:type="gramEnd"/>
      <w:r>
        <w:rPr>
          <w:rFonts w:ascii="Calibri" w:eastAsia="Calibri" w:hAnsi="Calibri" w:cs="Calibri"/>
          <w:color w:val="000000"/>
          <w:sz w:val="28"/>
          <w:szCs w:val="28"/>
        </w:rPr>
        <w:t xml:space="preserve"> предусмотренных формами бюджетной отчетности, в составе б</w:t>
      </w:r>
      <w:r>
        <w:rPr>
          <w:rFonts w:ascii="Calibri" w:eastAsia="Calibri" w:hAnsi="Calibri" w:cs="Calibri"/>
          <w:color w:val="000000"/>
          <w:sz w:val="28"/>
          <w:szCs w:val="28"/>
        </w:rPr>
        <w:t>юджетной отчетности за 2025 год отсутствуют следующие формы отчетности:</w:t>
      </w:r>
    </w:p>
    <w:p w:rsidR="007A1AC5" w:rsidRDefault="0055245D">
      <w:pPr>
        <w:spacing w:line="300" w:lineRule="atLeast"/>
        <w:ind w:left="3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14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"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показателей отчетности субъекта бюджетной отчетности";</w:t>
      </w:r>
    </w:p>
    <w:p w:rsidR="007A1AC5" w:rsidRDefault="0055245D">
      <w:pPr>
        <w:spacing w:line="288" w:lineRule="atLeast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-   таблица 15 "Причины увеличения просроченной задолженности".</w:t>
      </w:r>
    </w:p>
    <w:p w:rsidR="007A1AC5" w:rsidRDefault="0055245D">
      <w:pPr>
        <w:spacing w:line="300" w:lineRule="atLeast"/>
        <w:ind w:left="360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lastRenderedPageBreak/>
        <w:t>- форма 0503166 «Сведения об исполнени</w:t>
      </w:r>
      <w:r>
        <w:rPr>
          <w:rFonts w:ascii="Calibri" w:eastAsia="Calibri" w:hAnsi="Calibri" w:cs="Calibri"/>
          <w:color w:val="000000"/>
          <w:sz w:val="28"/>
          <w:szCs w:val="28"/>
        </w:rPr>
        <w:t>и мероприятий в рамках целевых программ»;</w:t>
      </w:r>
    </w:p>
    <w:p w:rsidR="007A1AC5" w:rsidRDefault="0055245D">
      <w:pPr>
        <w:numPr>
          <w:ilvl w:val="0"/>
          <w:numId w:val="5"/>
        </w:numPr>
        <w:spacing w:line="300" w:lineRule="atLeast"/>
        <w:ind w:left="64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форма 0503167 «Сведения о целевых иностранных кредитах»;</w:t>
      </w:r>
    </w:p>
    <w:p w:rsidR="007A1AC5" w:rsidRDefault="0055245D">
      <w:pPr>
        <w:numPr>
          <w:ilvl w:val="0"/>
          <w:numId w:val="5"/>
        </w:numPr>
        <w:spacing w:line="300" w:lineRule="atLeast"/>
        <w:ind w:left="64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форма 0503172 «Сведения о государственном (муниципальном) долге»;</w:t>
      </w:r>
    </w:p>
    <w:p w:rsidR="007A1AC5" w:rsidRDefault="0055245D">
      <w:pPr>
        <w:numPr>
          <w:ilvl w:val="0"/>
          <w:numId w:val="5"/>
        </w:numPr>
        <w:spacing w:line="300" w:lineRule="atLeast"/>
        <w:ind w:left="64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форма 0503174 «Сведения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капитале; </w:t>
      </w:r>
    </w:p>
    <w:p w:rsidR="007A1AC5" w:rsidRDefault="0055245D">
      <w:pPr>
        <w:numPr>
          <w:ilvl w:val="0"/>
          <w:numId w:val="5"/>
        </w:numPr>
        <w:spacing w:line="300" w:lineRule="atLeast"/>
        <w:ind w:left="64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форма 0503190 «Сведения о вложениях в объекты недвижимого и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мущества, объектах незавершенного строительства» </w:t>
      </w:r>
    </w:p>
    <w:p w:rsidR="007A1AC5" w:rsidRDefault="0055245D">
      <w:pPr>
        <w:numPr>
          <w:ilvl w:val="0"/>
          <w:numId w:val="5"/>
        </w:numPr>
        <w:spacing w:line="300" w:lineRule="atLeast"/>
        <w:ind w:left="640"/>
        <w:jc w:val="both"/>
        <w:rPr>
          <w:rFonts w:ascii="Arial" w:eastAsia="Arial" w:hAnsi="Arial" w:cs="Arial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>форма 0503296 « Сведения об исполнении судебных решений по денежным обязательствам бюджета».</w:t>
      </w:r>
    </w:p>
    <w:p w:rsidR="007A1AC5" w:rsidRDefault="0055245D">
      <w:pPr>
        <w:spacing w:line="300" w:lineRule="atLeast"/>
        <w:jc w:val="both"/>
        <w:rPr>
          <w:color w:val="000000"/>
        </w:rPr>
      </w:pPr>
      <w:r>
        <w:rPr>
          <w:rFonts w:ascii="Calibri" w:eastAsia="Calibri" w:hAnsi="Calibri" w:cs="Calibri"/>
          <w:color w:val="000000"/>
          <w:sz w:val="28"/>
          <w:szCs w:val="28"/>
        </w:rPr>
        <w:t xml:space="preserve">         Инвентаризация имущества и обязательств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Минцифры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проведена по состоянию на 01.01.2026 г. в целях составл</w:t>
      </w:r>
      <w:r>
        <w:rPr>
          <w:rFonts w:ascii="Calibri" w:eastAsia="Calibri" w:hAnsi="Calibri" w:cs="Calibri"/>
          <w:color w:val="000000"/>
          <w:sz w:val="28"/>
          <w:szCs w:val="28"/>
        </w:rPr>
        <w:t>ения годовой бухгалтерской отчетности на основании решения о проведении инвентаризации от 29.12.2025 № 1. Расхождений фактического наличия с данными бюджетного учета не установлено. Выверка расчетов с поставщиками, с внебюджетными фондами проведена. Расхож</w:t>
      </w:r>
      <w:r>
        <w:rPr>
          <w:rFonts w:ascii="Calibri" w:eastAsia="Calibri" w:hAnsi="Calibri" w:cs="Calibri"/>
          <w:color w:val="000000"/>
          <w:sz w:val="28"/>
          <w:szCs w:val="28"/>
        </w:rPr>
        <w:t>дений не установлено.  </w:t>
      </w:r>
    </w:p>
    <w:p w:rsidR="007A1AC5" w:rsidRDefault="0055245D">
      <w:pPr>
        <w:rPr>
          <w:color w:val="000000"/>
        </w:rPr>
      </w:pPr>
      <w:r>
        <w:rPr>
          <w:rFonts w:ascii="Calibri" w:eastAsia="Calibri" w:hAnsi="Calibri" w:cs="Calibri"/>
          <w:color w:val="000000"/>
        </w:rPr>
        <w:t> </w:t>
      </w:r>
    </w:p>
    <w:p w:rsidR="007A1AC5" w:rsidRDefault="0055245D">
      <w:r>
        <w:t> </w:t>
      </w:r>
    </w:p>
    <w:p w:rsidR="007A1AC5" w:rsidRDefault="0055245D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4716"/>
        <w:gridCol w:w="1432"/>
      </w:tblGrid>
      <w:tr w:rsidR="007A1AC5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7A1AC5"/>
        </w:tc>
      </w:tr>
      <w:tr w:rsidR="007A1AC5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7A1AC5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55245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7A1AC5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планово-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7A1AC5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7A1AC5">
            <w:pPr>
              <w:rPr>
                <w:sz w:val="24"/>
              </w:rPr>
            </w:pPr>
          </w:p>
        </w:tc>
      </w:tr>
      <w:tr w:rsidR="007A1AC5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экономической службы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7A1AC5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4"/>
              </w:rPr>
            </w:pPr>
          </w:p>
        </w:tc>
      </w:tr>
      <w:tr w:rsidR="007A1AC5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noProof/>
              </w:rPr>
              <w:drawing>
                <wp:inline distT="0" distB="0" distL="0" distR="0">
                  <wp:extent cx="2857500" cy="9525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A1AC5" w:rsidRDefault="007A1AC5">
            <w:pPr>
              <w:rPr>
                <w:sz w:val="24"/>
              </w:rPr>
            </w:pPr>
          </w:p>
        </w:tc>
      </w:tr>
      <w:tr w:rsidR="007A1AC5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бухгалтер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7A1AC5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55245D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7A1AC5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A1AC5" w:rsidRDefault="007A1AC5">
            <w:pPr>
              <w:rPr>
                <w:sz w:val="24"/>
              </w:rPr>
            </w:pPr>
          </w:p>
        </w:tc>
      </w:tr>
    </w:tbl>
    <w:p w:rsidR="007A1AC5" w:rsidRDefault="0055245D">
      <w:r>
        <w:rPr>
          <w:rFonts w:ascii="Times New Roman" w:eastAsia="Times New Roman" w:hAnsi="Times New Roman" w:cs="Times New Roman"/>
          <w:sz w:val="24"/>
          <w:szCs w:val="24"/>
        </w:rPr>
        <w:t xml:space="preserve">Документ подписан электронной подписью.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Главный бухгалте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р(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Лисицына Лариса Алексеевна, Сертификат: 00DABC2C86CD43640E50B95745561D4E7D, Действителен: с 11.09.2025 по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05.12.2026),Руководитель(Изосимов Максим Сергеевич, Сертификат: 00B90AB90CC460D062925AB122E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CA58439, Действителен: с 20.06.2025 по 13.09.2026)        </w:t>
      </w:r>
    </w:p>
    <w:sectPr w:rsidR="007A1AC5">
      <w:pgSz w:w="12240" w:h="15840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2FCC6"/>
    <w:multiLevelType w:val="hybridMultilevel"/>
    <w:tmpl w:val="A97A5280"/>
    <w:lvl w:ilvl="0" w:tplc="02B7542E">
      <w:start w:val="4"/>
      <w:numFmt w:val="decimal"/>
      <w:lvlText w:val="%1."/>
      <w:lvlJc w:val="left"/>
      <w:pPr>
        <w:ind w:left="720" w:hanging="360"/>
      </w:pPr>
    </w:lvl>
    <w:lvl w:ilvl="1" w:tplc="11FAF276">
      <w:start w:val="1"/>
      <w:numFmt w:val="decimal"/>
      <w:lvlText w:val="%2."/>
      <w:lvlJc w:val="left"/>
      <w:pPr>
        <w:ind w:left="1440" w:hanging="360"/>
      </w:pPr>
    </w:lvl>
    <w:lvl w:ilvl="2" w:tplc="4C658AC6">
      <w:start w:val="1"/>
      <w:numFmt w:val="decimal"/>
      <w:lvlText w:val="%3."/>
      <w:lvlJc w:val="left"/>
      <w:pPr>
        <w:ind w:left="2160" w:hanging="360"/>
      </w:pPr>
    </w:lvl>
    <w:lvl w:ilvl="3" w:tplc="626D669C">
      <w:start w:val="1"/>
      <w:numFmt w:val="decimal"/>
      <w:lvlText w:val="%4."/>
      <w:lvlJc w:val="left"/>
      <w:pPr>
        <w:ind w:left="2880" w:hanging="360"/>
      </w:pPr>
    </w:lvl>
    <w:lvl w:ilvl="4" w:tplc="1BA1363B">
      <w:start w:val="1"/>
      <w:numFmt w:val="decimal"/>
      <w:lvlText w:val="%5."/>
      <w:lvlJc w:val="left"/>
      <w:pPr>
        <w:ind w:left="3600" w:hanging="360"/>
      </w:pPr>
    </w:lvl>
    <w:lvl w:ilvl="5" w:tplc="2113AF0E">
      <w:start w:val="1"/>
      <w:numFmt w:val="decimal"/>
      <w:lvlText w:val="%6."/>
      <w:lvlJc w:val="left"/>
      <w:pPr>
        <w:ind w:left="4320" w:hanging="360"/>
      </w:pPr>
    </w:lvl>
    <w:lvl w:ilvl="6" w:tplc="13F562FF">
      <w:start w:val="1"/>
      <w:numFmt w:val="decimal"/>
      <w:lvlText w:val="%7."/>
      <w:lvlJc w:val="left"/>
      <w:pPr>
        <w:ind w:left="5040" w:hanging="360"/>
      </w:pPr>
    </w:lvl>
    <w:lvl w:ilvl="7" w:tplc="13ECEA80">
      <w:start w:val="1"/>
      <w:numFmt w:val="decimal"/>
      <w:lvlText w:val="%8."/>
      <w:lvlJc w:val="left"/>
      <w:pPr>
        <w:ind w:left="5760" w:hanging="360"/>
      </w:pPr>
    </w:lvl>
    <w:lvl w:ilvl="8" w:tplc="1EC00493">
      <w:start w:val="1"/>
      <w:numFmt w:val="decimal"/>
      <w:lvlText w:val="%9."/>
      <w:lvlJc w:val="left"/>
      <w:pPr>
        <w:ind w:left="6480" w:hanging="360"/>
      </w:pPr>
    </w:lvl>
  </w:abstractNum>
  <w:abstractNum w:abstractNumId="1">
    <w:nsid w:val="22B0E0A5"/>
    <w:multiLevelType w:val="hybridMultilevel"/>
    <w:tmpl w:val="7750D354"/>
    <w:lvl w:ilvl="0" w:tplc="0DDCE17E">
      <w:start w:val="2"/>
      <w:numFmt w:val="decimal"/>
      <w:lvlText w:val="%1."/>
      <w:lvlJc w:val="left"/>
      <w:pPr>
        <w:ind w:left="720" w:hanging="360"/>
      </w:pPr>
    </w:lvl>
    <w:lvl w:ilvl="1" w:tplc="1392083C">
      <w:start w:val="1"/>
      <w:numFmt w:val="decimal"/>
      <w:lvlText w:val="%2."/>
      <w:lvlJc w:val="left"/>
      <w:pPr>
        <w:ind w:left="1440" w:hanging="360"/>
      </w:pPr>
    </w:lvl>
    <w:lvl w:ilvl="2" w:tplc="4969E2B1">
      <w:start w:val="1"/>
      <w:numFmt w:val="decimal"/>
      <w:lvlText w:val="%3."/>
      <w:lvlJc w:val="left"/>
      <w:pPr>
        <w:ind w:left="2160" w:hanging="360"/>
      </w:pPr>
    </w:lvl>
    <w:lvl w:ilvl="3" w:tplc="0A4050C8">
      <w:start w:val="1"/>
      <w:numFmt w:val="decimal"/>
      <w:lvlText w:val="%4."/>
      <w:lvlJc w:val="left"/>
      <w:pPr>
        <w:ind w:left="2880" w:hanging="360"/>
      </w:pPr>
    </w:lvl>
    <w:lvl w:ilvl="4" w:tplc="13E02891">
      <w:start w:val="1"/>
      <w:numFmt w:val="decimal"/>
      <w:lvlText w:val="%5."/>
      <w:lvlJc w:val="left"/>
      <w:pPr>
        <w:ind w:left="3600" w:hanging="360"/>
      </w:pPr>
    </w:lvl>
    <w:lvl w:ilvl="5" w:tplc="44B9C708">
      <w:start w:val="1"/>
      <w:numFmt w:val="decimal"/>
      <w:lvlText w:val="%6."/>
      <w:lvlJc w:val="left"/>
      <w:pPr>
        <w:ind w:left="4320" w:hanging="360"/>
      </w:pPr>
    </w:lvl>
    <w:lvl w:ilvl="6" w:tplc="5CDB2CD1">
      <w:start w:val="1"/>
      <w:numFmt w:val="decimal"/>
      <w:lvlText w:val="%7."/>
      <w:lvlJc w:val="left"/>
      <w:pPr>
        <w:ind w:left="5040" w:hanging="360"/>
      </w:pPr>
    </w:lvl>
    <w:lvl w:ilvl="7" w:tplc="371192E5">
      <w:start w:val="1"/>
      <w:numFmt w:val="decimal"/>
      <w:lvlText w:val="%8."/>
      <w:lvlJc w:val="left"/>
      <w:pPr>
        <w:ind w:left="5760" w:hanging="360"/>
      </w:pPr>
    </w:lvl>
    <w:lvl w:ilvl="8" w:tplc="5B5137D5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29A1AD96"/>
    <w:multiLevelType w:val="hybridMultilevel"/>
    <w:tmpl w:val="03925642"/>
    <w:lvl w:ilvl="0" w:tplc="64D36215">
      <w:start w:val="3"/>
      <w:numFmt w:val="decimal"/>
      <w:lvlText w:val="%1."/>
      <w:lvlJc w:val="left"/>
      <w:pPr>
        <w:ind w:left="720" w:hanging="360"/>
      </w:pPr>
    </w:lvl>
    <w:lvl w:ilvl="1" w:tplc="5A9E31F1">
      <w:start w:val="1"/>
      <w:numFmt w:val="decimal"/>
      <w:lvlText w:val="%2."/>
      <w:lvlJc w:val="left"/>
      <w:pPr>
        <w:ind w:left="1440" w:hanging="360"/>
      </w:pPr>
    </w:lvl>
    <w:lvl w:ilvl="2" w:tplc="3921E698">
      <w:start w:val="1"/>
      <w:numFmt w:val="decimal"/>
      <w:lvlText w:val="%3."/>
      <w:lvlJc w:val="left"/>
      <w:pPr>
        <w:ind w:left="2160" w:hanging="360"/>
      </w:pPr>
    </w:lvl>
    <w:lvl w:ilvl="3" w:tplc="50C270B7">
      <w:start w:val="1"/>
      <w:numFmt w:val="decimal"/>
      <w:lvlText w:val="%4."/>
      <w:lvlJc w:val="left"/>
      <w:pPr>
        <w:ind w:left="2880" w:hanging="360"/>
      </w:pPr>
    </w:lvl>
    <w:lvl w:ilvl="4" w:tplc="05C53810">
      <w:start w:val="1"/>
      <w:numFmt w:val="decimal"/>
      <w:lvlText w:val="%5."/>
      <w:lvlJc w:val="left"/>
      <w:pPr>
        <w:ind w:left="3600" w:hanging="360"/>
      </w:pPr>
    </w:lvl>
    <w:lvl w:ilvl="5" w:tplc="647D8E21">
      <w:start w:val="1"/>
      <w:numFmt w:val="decimal"/>
      <w:lvlText w:val="%6."/>
      <w:lvlJc w:val="left"/>
      <w:pPr>
        <w:ind w:left="4320" w:hanging="360"/>
      </w:pPr>
    </w:lvl>
    <w:lvl w:ilvl="6" w:tplc="2E8C0981">
      <w:start w:val="1"/>
      <w:numFmt w:val="decimal"/>
      <w:lvlText w:val="%7."/>
      <w:lvlJc w:val="left"/>
      <w:pPr>
        <w:ind w:left="5040" w:hanging="360"/>
      </w:pPr>
    </w:lvl>
    <w:lvl w:ilvl="7" w:tplc="108C59E1">
      <w:start w:val="1"/>
      <w:numFmt w:val="decimal"/>
      <w:lvlText w:val="%8."/>
      <w:lvlJc w:val="left"/>
      <w:pPr>
        <w:ind w:left="5760" w:hanging="360"/>
      </w:pPr>
    </w:lvl>
    <w:lvl w:ilvl="8" w:tplc="69BE2D83">
      <w:start w:val="1"/>
      <w:numFmt w:val="decimal"/>
      <w:lvlText w:val="%9."/>
      <w:lvlJc w:val="left"/>
      <w:pPr>
        <w:ind w:left="6480" w:hanging="360"/>
      </w:pPr>
    </w:lvl>
  </w:abstractNum>
  <w:abstractNum w:abstractNumId="3">
    <w:nsid w:val="58BEB1FD"/>
    <w:multiLevelType w:val="hybridMultilevel"/>
    <w:tmpl w:val="F52A114C"/>
    <w:lvl w:ilvl="0" w:tplc="3455A4C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</w:rPr>
    </w:lvl>
    <w:lvl w:ilvl="1" w:tplc="4740A7AB">
      <w:start w:val="1"/>
      <w:numFmt w:val="bullet"/>
      <w:lvlText w:val="o"/>
      <w:lvlJc w:val="left"/>
      <w:pPr>
        <w:ind w:left="1440" w:hanging="360"/>
      </w:pPr>
      <w:rPr>
        <w:rFonts w:ascii="Symbol" w:hAnsi="Symbol"/>
      </w:rPr>
    </w:lvl>
    <w:lvl w:ilvl="2" w:tplc="2F067CAA">
      <w:start w:val="1"/>
      <w:numFmt w:val="bullet"/>
      <w:lvlText w:val="·"/>
      <w:lvlJc w:val="left"/>
      <w:pPr>
        <w:ind w:left="2160" w:hanging="360"/>
      </w:pPr>
      <w:rPr>
        <w:rFonts w:ascii="Symbol" w:hAnsi="Symbol"/>
      </w:rPr>
    </w:lvl>
    <w:lvl w:ilvl="3" w:tplc="0CF478B6">
      <w:start w:val="1"/>
      <w:numFmt w:val="bullet"/>
      <w:lvlText w:val="o"/>
      <w:lvlJc w:val="left"/>
      <w:pPr>
        <w:ind w:left="2880" w:hanging="360"/>
      </w:pPr>
      <w:rPr>
        <w:rFonts w:ascii="Symbol" w:hAnsi="Symbol"/>
      </w:rPr>
    </w:lvl>
    <w:lvl w:ilvl="4" w:tplc="300A3536">
      <w:start w:val="1"/>
      <w:numFmt w:val="bullet"/>
      <w:lvlText w:val="·"/>
      <w:lvlJc w:val="left"/>
      <w:pPr>
        <w:ind w:left="3600" w:hanging="360"/>
      </w:pPr>
      <w:rPr>
        <w:rFonts w:ascii="Symbol" w:hAnsi="Symbol"/>
      </w:rPr>
    </w:lvl>
    <w:lvl w:ilvl="5" w:tplc="59DCE2B6">
      <w:start w:val="1"/>
      <w:numFmt w:val="bullet"/>
      <w:lvlText w:val="o"/>
      <w:lvlJc w:val="left"/>
      <w:pPr>
        <w:ind w:left="4320" w:hanging="360"/>
      </w:pPr>
      <w:rPr>
        <w:rFonts w:ascii="Symbol" w:hAnsi="Symbol"/>
      </w:rPr>
    </w:lvl>
    <w:lvl w:ilvl="6" w:tplc="6049A4AC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 w:tplc="08BC22CA">
      <w:start w:val="1"/>
      <w:numFmt w:val="bullet"/>
      <w:lvlText w:val="o"/>
      <w:lvlJc w:val="left"/>
      <w:pPr>
        <w:ind w:left="5760" w:hanging="360"/>
      </w:pPr>
      <w:rPr>
        <w:rFonts w:ascii="Symbol" w:hAnsi="Symbol"/>
      </w:rPr>
    </w:lvl>
    <w:lvl w:ilvl="8" w:tplc="3A95B543">
      <w:start w:val="1"/>
      <w:numFmt w:val="bullet"/>
      <w:lvlText w:val="·"/>
      <w:lvlJc w:val="left"/>
      <w:pPr>
        <w:ind w:left="6480" w:hanging="360"/>
      </w:pPr>
      <w:rPr>
        <w:rFonts w:ascii="Symbol" w:hAnsi="Symbol"/>
      </w:rPr>
    </w:lvl>
  </w:abstractNum>
  <w:abstractNum w:abstractNumId="4">
    <w:nsid w:val="5F350D58"/>
    <w:multiLevelType w:val="hybridMultilevel"/>
    <w:tmpl w:val="1FB23D9E"/>
    <w:lvl w:ilvl="0" w:tplc="33C140BD">
      <w:start w:val="1"/>
      <w:numFmt w:val="decimal"/>
      <w:lvlText w:val="%1."/>
      <w:lvlJc w:val="left"/>
      <w:pPr>
        <w:ind w:left="720" w:hanging="360"/>
      </w:pPr>
    </w:lvl>
    <w:lvl w:ilvl="1" w:tplc="6E6B0B43">
      <w:start w:val="1"/>
      <w:numFmt w:val="decimal"/>
      <w:lvlText w:val="%2."/>
      <w:lvlJc w:val="left"/>
      <w:pPr>
        <w:ind w:left="1440" w:hanging="360"/>
      </w:pPr>
    </w:lvl>
    <w:lvl w:ilvl="2" w:tplc="66BC3B01">
      <w:start w:val="1"/>
      <w:numFmt w:val="decimal"/>
      <w:lvlText w:val="%3."/>
      <w:lvlJc w:val="left"/>
      <w:pPr>
        <w:ind w:left="2160" w:hanging="360"/>
      </w:pPr>
    </w:lvl>
    <w:lvl w:ilvl="3" w:tplc="552089C7">
      <w:start w:val="1"/>
      <w:numFmt w:val="decimal"/>
      <w:lvlText w:val="%4."/>
      <w:lvlJc w:val="left"/>
      <w:pPr>
        <w:ind w:left="2880" w:hanging="360"/>
      </w:pPr>
    </w:lvl>
    <w:lvl w:ilvl="4" w:tplc="1B08A9EC">
      <w:start w:val="1"/>
      <w:numFmt w:val="decimal"/>
      <w:lvlText w:val="%5."/>
      <w:lvlJc w:val="left"/>
      <w:pPr>
        <w:ind w:left="3600" w:hanging="360"/>
      </w:pPr>
    </w:lvl>
    <w:lvl w:ilvl="5" w:tplc="07160177">
      <w:start w:val="1"/>
      <w:numFmt w:val="decimal"/>
      <w:lvlText w:val="%6."/>
      <w:lvlJc w:val="left"/>
      <w:pPr>
        <w:ind w:left="4320" w:hanging="360"/>
      </w:pPr>
    </w:lvl>
    <w:lvl w:ilvl="6" w:tplc="0E367DEC">
      <w:start w:val="1"/>
      <w:numFmt w:val="decimal"/>
      <w:lvlText w:val="%7."/>
      <w:lvlJc w:val="left"/>
      <w:pPr>
        <w:ind w:left="5040" w:hanging="360"/>
      </w:pPr>
    </w:lvl>
    <w:lvl w:ilvl="7" w:tplc="75DEF2B3">
      <w:start w:val="1"/>
      <w:numFmt w:val="decimal"/>
      <w:lvlText w:val="%8."/>
      <w:lvlJc w:val="left"/>
      <w:pPr>
        <w:ind w:left="5760" w:hanging="360"/>
      </w:pPr>
    </w:lvl>
    <w:lvl w:ilvl="8" w:tplc="1AA4B5EB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AC5"/>
    <w:rsid w:val="0055245D"/>
    <w:rsid w:val="007A1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4984</Words>
  <Characters>28415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Лисицына Лариса Алексеевна</dc:creator>
  <cp:lastModifiedBy>Лисицина Лариса Алексеевна</cp:lastModifiedBy>
  <cp:revision>2</cp:revision>
  <dcterms:created xsi:type="dcterms:W3CDTF">2026-06-10T07:47:00Z</dcterms:created>
  <dcterms:modified xsi:type="dcterms:W3CDTF">2026-06-10T07:47:00Z</dcterms:modified>
</cp:coreProperties>
</file>